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2024</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年度述法报告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市财政局党组副书记、局长、国资委党委副书记、主任  曾文倩</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根据工作要求，现述法如下：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履职情况</w:t>
      </w:r>
    </w:p>
    <w:p>
      <w:pPr>
        <w:keepNext w:val="0"/>
        <w:keepLines w:val="0"/>
        <w:pageBreakBefore w:val="0"/>
        <w:widowControl w:val="0"/>
        <w:numPr>
          <w:ilvl w:val="0"/>
          <w:numId w:val="2"/>
        </w:numPr>
        <w:kinsoku/>
        <w:wordWrap/>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履行推进法治建设第一责任人职责</w:t>
      </w:r>
    </w:p>
    <w:p>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成立财政局法治建设工作领导小组，定期组织召开党组中心理论组扩大会议，研究制定法治政府建设工作计划。严格落实行政执法“三项制度”，完善行政执法设备和执法证件管理，积极推进会计监督检查等工作。研究制定党组中心理论组学法计划，开展多次专题学法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（二）坚持学法用法率先示范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以“八五”普法要求为指导，以党的全面依法治国会议文件和国家法律法规为重点，认真学习《</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习近平法治思想学习纲要》《中国共产党章程》《中国共产党纪律处分条例》《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中华人民共和国</w:t>
      </w:r>
      <w:r>
        <w:rPr>
          <w:rFonts w:hint="eastAsia" w:ascii="仿宋_GB2312" w:hAnsi="仿宋_GB2312" w:eastAsia="仿宋_GB2312" w:cs="仿宋_GB2312"/>
          <w:color w:val="000000" w:themeColor="text1"/>
          <w:sz w:val="32"/>
          <w:szCs w:val="32"/>
          <w:lang w:eastAsia="zh-CN"/>
          <w14:textFill>
            <w14:solidFill>
              <w14:schemeClr w14:val="tx1"/>
            </w14:solidFill>
          </w14:textFill>
        </w:rPr>
        <w:t>宪法》《中华人民共和国民法典》和《中华人民共和国预算法》等法律法规，提高自身依法行政能力，维护宪法权威。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严格按照我市作风整顿要求、规范自己、约束自己，更好地依法履职。</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将学习党的二十大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、党的二十届二中全会、党的二十届三中全会</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精神融入“三会一课”和“主题党日”等党内集体活动，并通过“学习强国”“法宣在线”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t>新疆党员教育等线上平台开展学习，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用理论知识武装头脑指导实践，</w:t>
      </w:r>
      <w:r>
        <w:rPr>
          <w:rFonts w:hint="eastAsia" w:ascii="仿宋_GB2312" w:hAnsi="仿宋_GB2312" w:eastAsia="仿宋_GB2312" w:cs="仿宋_GB2312"/>
          <w:b w:val="0"/>
          <w:bCs w:val="0"/>
          <w:color w:val="000000" w:themeColor="text1"/>
          <w:sz w:val="32"/>
          <w:szCs w:val="32"/>
          <w:lang w:val="zh-CN" w:eastAsia="zh-CN"/>
          <w14:textFill>
            <w14:solidFill>
              <w14:schemeClr w14:val="tx1"/>
            </w14:solidFill>
          </w14:textFill>
        </w:rPr>
        <w:t>统筹推进各项工作任务落实。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（三）深入法治宣传营造氛围</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val="0"/>
        <w:topLinePunct w:val="0"/>
        <w:autoSpaceDE/>
        <w:autoSpaceDN/>
        <w:bidi w:val="0"/>
        <w:adjustRightInd/>
        <w:snapToGrid/>
        <w:spacing w:beforeAutospacing="0" w:afterAutospacing="0" w:line="560" w:lineRule="exact"/>
        <w:ind w:left="0" w:leftChars="0" w:right="0" w:firstLine="643"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丰富普法宣传教育载体。推进精准普法、智慧普法、互动式普法，创新普法形式载体，利用“宪法宣传月”《中华人民共和国民法典》宣传月、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国家安全教育日等重要节点，</w:t>
      </w:r>
      <w:r>
        <w:rPr>
          <w:rFonts w:hint="eastAsia" w:ascii="仿宋_GB2312" w:hAnsi="仿宋_GB2312" w:eastAsia="仿宋_GB2312" w:cs="仿宋_GB2312"/>
          <w:color w:val="000000" w:themeColor="text1"/>
          <w:sz w:val="32"/>
          <w:szCs w:val="32"/>
          <w:lang w:eastAsia="zh-CN"/>
          <w14:textFill>
            <w14:solidFill>
              <w14:schemeClr w14:val="tx1"/>
            </w14:solidFill>
          </w14:textFill>
        </w:rPr>
        <w:t>依托学习强国APP、法宣在线开展形式多样的学法活动。</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二是</w:t>
      </w:r>
      <w:r>
        <w:rPr>
          <w:rFonts w:hint="eastAsia" w:ascii="仿宋_GB2312" w:hAnsi="仿宋_GB2312" w:eastAsia="仿宋_GB2312" w:cs="仿宋_GB2312"/>
          <w:color w:val="000000" w:themeColor="text1"/>
          <w:sz w:val="32"/>
          <w:szCs w:val="32"/>
          <w:lang w:eastAsia="zh-CN"/>
          <w14:textFill>
            <w14:solidFill>
              <w14:schemeClr w14:val="tx1"/>
            </w14:solidFill>
          </w14:textFill>
        </w:rPr>
        <w:t>完善普法体系建设。全面推进“网格化+信息化”法治宣传体系建设，深化“互联网+法治宣传教育”行动，积极运用新媒体新技术，及时推送通俗易懂、群众易于学习掌握的有关习近平法治思想的宣传内容。</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三是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丰富学习内容。制定法治建设工作实施方案，积极学习习近平总书记关于全面依法治国及法治政府建设的重要论述，把宪法、民法典等法律法规和党章规定纳入中心组学习内容，重点加强对《中华人民共和国预算法》《中华人民共和国政府采购法》等财政法律法规和《中国共产党章程》等党内规章制度的学习宣传，多方面多层次提高了财政干部的法律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（四）严肃财经纪律，加快推进财政法治建设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一是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强化预算单位财务人员财务业务培训，提高财政人员思想认识和业务水平，加强资金管理和使用。坚持“花钱必问效、无效必问责”，制定预算绩效管理办法、预算绩效评价管理实施细则等，切实提高财政资源配置效率。</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严格规范决策程序。执行《重大行政决策程序暂行条例》，落实重大行政决策目录化管理和合法性审核工作机制，对财政政策、干部任用、资金分配等重要事项，坚持会议集体讨论研究，发挥班子集体的智慧和力量。</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落实法律顾问制度。与雪峰律师事务所律师铁建明签订长期聘请合同，并邀请律师对全局干部职工开展坚持法治讲座和法律指导</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次，确保财政行政决定合法合规。</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四是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制定并公布财政局重大行政执法决定法制审核目录清单，确保作出的重大执法决定合法有效。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bidi="ar-SA"/>
          <w14:textFill>
            <w14:solidFill>
              <w14:schemeClr w14:val="tx1"/>
            </w14:solidFill>
          </w14:textFill>
        </w:rPr>
        <w:t>（五）落实行政执法体制改革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一是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持续深入推行行政执法“三项制度”，严格执行行政执法公示制度、行政执法全过程记录制度、重大执法决定法制审核制度。强化事前公开、规范事中公示、加强事后公开。</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二是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通过文字、音像等记录形式，全过程记录行政执法启动、调查取证、审核决定、送达执行等，并全面系统归档保存，做到执法全过程留痕和可回溯管理。</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2024</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年，已配备执法记录仪</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台。</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三是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加强重大行政执法决定法制审核工作，增强案件审核人员责任意识，准确把握案件审核关键，严把案件质量关。</w:t>
      </w:r>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四是</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依照法定权限和程序行使权力，注重从源头上预防和减少行政不作为、乱作为，执法不严格、不规范、不文明、不透明等突出问题，推动行政权力规范透明运行。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（六）上年度述法和自治区、地区及乌苏市法治督察反馈问题整改情况。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上年度述法和自治区、地区及乌苏市法治督察反馈的各项问题已全部整改完毕，整改率</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100%</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根据市委巡察组巡察反馈意见，市财政局迅速召开党组会议专题讨论，根据反馈的问题，积极制定问题整改责任清单和整改方案，建立问题台账、责任分解机制、处置销号机制，落实领导班子责任，明确整改要求和整改时限，防范整改问题出现反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二、下一步工作打算</w:t>
      </w:r>
    </w:p>
    <w:p>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提高思想认识，推进财政法治建设。坚持以习近平新时代中国特色社会主义思想为指导，全面落实中央、自治区党委、地委、市委全面依法治地有关会议精神，切实增强法治工作的思想自觉、政治自觉和行动自觉，以法律法规为准绳，解决重点难点问题，以法治思维推动财政事业发展。</w:t>
      </w:r>
    </w:p>
    <w:p>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进一步严肃财经纪律，规范使用财政资金。加强依法理财能力建设，健全预算收支管理、政府债务、政府采购等制度建设。将法治建设纳入工作计划和议事日程，落实“谁执法谁普法”的责任制，坚持法治宣传教育与依法行政、依法理财相结合。</w:t>
      </w:r>
    </w:p>
    <w:p>
      <w:pPr>
        <w:keepNext w:val="0"/>
        <w:keepLines w:val="0"/>
        <w:pageBreakBefore w:val="0"/>
        <w:widowControl w:val="0"/>
        <w:kinsoku/>
        <w:wordWrap/>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认真履行“八五”普法工作责任。按照普法责任清单，逐项落实财政普法工作任务，夯实依法理财基础，通过多种形式，激发财政干部学法用法积极性，提高财政干部法治意识、法治思维。切实履行主体责任，管好国家的“钱袋子”，当好人民的“铁算盘”。</w:t>
      </w:r>
    </w:p>
    <w:sectPr>
      <w:footerReference r:id="rId3" w:type="default"/>
      <w:pgSz w:w="11906" w:h="16838"/>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14B1B"/>
    <w:multiLevelType w:val="singleLevel"/>
    <w:tmpl w:val="B8B14B1B"/>
    <w:lvl w:ilvl="0" w:tentative="0">
      <w:start w:val="1"/>
      <w:numFmt w:val="chineseCounting"/>
      <w:suff w:val="nothing"/>
      <w:lvlText w:val="%1、"/>
      <w:lvlJc w:val="left"/>
      <w:rPr>
        <w:rFonts w:hint="eastAsia"/>
      </w:rPr>
    </w:lvl>
  </w:abstractNum>
  <w:abstractNum w:abstractNumId="1">
    <w:nsid w:val="7329F41F"/>
    <w:multiLevelType w:val="singleLevel"/>
    <w:tmpl w:val="7329F41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028F73F2"/>
    <w:rsid w:val="02B1073E"/>
    <w:rsid w:val="05D2410E"/>
    <w:rsid w:val="14341757"/>
    <w:rsid w:val="270D56CC"/>
    <w:rsid w:val="35782AA0"/>
    <w:rsid w:val="35DB07D6"/>
    <w:rsid w:val="393C289B"/>
    <w:rsid w:val="3F7E2F3D"/>
    <w:rsid w:val="43186639"/>
    <w:rsid w:val="46617760"/>
    <w:rsid w:val="47C832D3"/>
    <w:rsid w:val="49721731"/>
    <w:rsid w:val="49BB7FCC"/>
    <w:rsid w:val="49C44B74"/>
    <w:rsid w:val="4A3778AE"/>
    <w:rsid w:val="4F2A536A"/>
    <w:rsid w:val="507A789D"/>
    <w:rsid w:val="511C55B7"/>
    <w:rsid w:val="57B70CDE"/>
    <w:rsid w:val="5D112CC5"/>
    <w:rsid w:val="5D542905"/>
    <w:rsid w:val="5DFD2A6D"/>
    <w:rsid w:val="5F7505B4"/>
    <w:rsid w:val="606102F3"/>
    <w:rsid w:val="70E86A77"/>
    <w:rsid w:val="71D25B6C"/>
    <w:rsid w:val="71E118A7"/>
    <w:rsid w:val="735A60B9"/>
    <w:rsid w:val="75C85B69"/>
    <w:rsid w:val="76066218"/>
    <w:rsid w:val="77504785"/>
    <w:rsid w:val="77ADFE2D"/>
    <w:rsid w:val="7B7626F7"/>
    <w:rsid w:val="7CCD4FC6"/>
    <w:rsid w:val="7DFA4098"/>
    <w:rsid w:val="D7EFBA4C"/>
    <w:rsid w:val="F7BB8E55"/>
    <w:rsid w:val="FBB5A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spacing w:before="100" w:beforeAutospacing="1" w:after="100" w:afterAutospacing="1"/>
      <w:outlineLvl w:val="2"/>
    </w:pPr>
    <w:rPr>
      <w:rFonts w:ascii="宋体" w:hAnsi="宋体" w:cs="宋体"/>
      <w:b/>
      <w:bCs/>
      <w:sz w:val="27"/>
      <w:szCs w:val="27"/>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喜文</cp:lastModifiedBy>
  <cp:lastPrinted>2025-03-06T03:23:00Z</cp:lastPrinted>
  <dcterms:modified xsi:type="dcterms:W3CDTF">2025-05-17T17:20:12Z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E66E7577F7DCFDF8D50DC967263A356C</vt:lpwstr>
  </property>
</Properties>
</file>