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2024年度述法报告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白杨沟镇党委副书记、镇长  阿尔帕提·阿布都伟力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根据工作要求，现述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法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lang w:val="en-US" w:eastAsia="zh-CN"/>
        </w:rPr>
        <w:t>一、履职情况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lang w:val="en-US" w:eastAsia="zh-CN"/>
        </w:rPr>
        <w:t>（一）坚持党的领导，统筹法治建设。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落实党对各项工作的全面领导，成立由党委书记任组长、分管领导任副组长，各科室负责人为成员的法治建设领导小组，负责全镇法治工作的研究谋划、统筹协调、整体推进、督促落实。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充分发挥党委在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推进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法治建设中的领导核心作用，将法治建设纳入本单位发展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总体规划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和年度工作计划，定期听取法治建设重大部署、重要举措、重点内容。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履行推进法治建设第一责任人职责，对法治建设重要工作亲自部署、重大问题亲自过问、重点环节亲自协调、重要任务亲自督办，把各项工作纳入法治化轨道。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lang w:val="en-US"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lang w:val="en-US" w:eastAsia="zh-CN"/>
        </w:rPr>
        <w:t>二）着力以学促干，提升工作质效。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坚持把“第一议题”制度落实作为党委的重要政治任务，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将习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近平法治思想、宪法法律和党内法规列入党委中心组学习。引导督促领导干部进一步提升政治站位，强化法治思维，自觉运用习近平法治思想指导实践、解决问题、推动工作。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持续深化党员干部日常学法。把应知应会党内法规和国家法律纳入干部理论学习。充分发挥“关键少数”示范引领作用，全年共开展党政正职讲习近平法治思想讲座2次，以上率下不断强化党员干部法治意识，提升法律素养。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制定领导干部学习党内法规和国家法律清单，紧扣“应知应会”，从实际出发，聚焦基础主干党内法规和国家法律，立足履职需要。从制度上解决领导干部学什么、如何学、达到什么效果。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lang w:val="en-US" w:eastAsia="zh-CN"/>
        </w:rPr>
        <w:t>（三）突出法治引领，深化依法行政。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推动法治建设“一规划两纲要”实施评估。围绕“任务清单”逐条梳理、逐条研究、逐一“对账”，确保已完成的工作符合要求，正在推进的工作符合预期。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落实上级基层减负任务，全面梳理“三张清单”，强化系统思维，统筹把握各层级之间的关系，着力构建边界清晰、权责一致、分工协作、运行高效的体系。把‘应减之负’减下去，把‘应尽之责’担起来，切实转变工作作风，树立正确的政绩观和群众观。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扎实推进依法行政。坚持民主集中制原则，贯彻落实“三重一大”集体决策制度，实现科学决策、民主决策、依法决策；组建综合行政执法大队，综合考虑业务素养、工作经验、年龄结构等因素，配强综合执法队员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名。落实行政执法“三项制度”，推进严格规范公正文明执法；带头并督促领导班子其他成员依法办事，绝不违规干预执法活动、插手具体案件处理。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lang w:val="en-US" w:eastAsia="zh-CN"/>
        </w:rPr>
        <w:t>二、亮点工作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lang w:val="en-US" w:eastAsia="zh-CN"/>
        </w:rPr>
        <w:t>（一）发挥法律顾问作用，赋能法治政府建设。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充分发挥法律顾问的咨询论证、审核把关作用，在重大决策、重要工作、重要事项等方面，加强与法律顾问交流探讨，增强决策的科学性、合法性，保障决策事项于法有据、决策程序依法履行、决策内容依法合规。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在处理矛盾纠纷工作中，充分发挥法律顾问专业特长，厘清法律关系，综合多方权益，提出合法处置建议，让重大、复杂矛盾得到妥善处理。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法律顾问常态化开展法治宣传，指导村务管理，开展法治讲座，解答法律咨询，成为百姓“家中常客”。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lang w:val="en-US" w:eastAsia="zh-CN"/>
        </w:rPr>
        <w:t>（二）普法宣传进景区，护航旅游助发展。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结合我辖区旅游资源、自然资源丰富，易发生破坏环境、安全事故等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特点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开展针对性普法工作。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关键隐患区域设置警示牌，明确标注相关法律法规，提醒游客注意环境保护与自身安全。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针对旅游旺季，热门景点安排专人值守，通过分发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宣传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材料、现场案例解说等形式，向游客普及法律知识及安全常识。一系列举措有效提升了游客的法律意识和安全意识，营造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辖区内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和谐、安全、文明的旅游氛围。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lang w:val="en-US" w:eastAsia="zh-CN"/>
        </w:rPr>
        <w:t>三、问题短板和下一步工作计划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lang w:val="en-US" w:eastAsia="zh-CN"/>
        </w:rPr>
        <w:t>（一）问题短板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1.行政执法工作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仍</w:t>
      </w: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存在不足。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一是行政区划的复杂性和矛盾性给执法工作带来了一定困难。不同行政区划间的执法责任划分不明确，导致执法难度大，效率低。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下放的执法权与我辖区实际情况关联度不高。导致执法权难以有效利用，执法工作开展受到一定限制。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执法队员无法学专业背景，在一定程度上制约了执法工作的专业性和准确性。面对复杂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法律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案件，仍需上级行业部门现场指导。因此，加强执法队员专业培训，提升专业素养，是确保执法工作顺利开展的重要保障。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2.法治宣传教育针对性不强。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我镇辖区多为偏远牧区，人口居住分散，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人口流动性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强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，宣传人员难以准确掌握牧民的去向，导致宣传难以覆盖到每一位牧民。同时，因交通不便，也增加了宣传的难度和成本。这种人口分布的特点使得法治宣传难以形成规模效应，影响了宣传的广度和深度。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lang w:val="en-US" w:eastAsia="zh-CN"/>
        </w:rPr>
        <w:t>（二）下一步工作计划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完善三项制度培训，包括执法程序、证据收集与保存、执法行为规范等，确保执法队员在制度框架内高效、公正执法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强化案卷制作培训，就如何规范、完整地记录执法过程，确保案卷内容真实、准确、合法，为日后可能的法律诉讼提供有力证据；增加执法实践培训，通过模拟执法场景、案例分析等方式，提升队员的现场应对能力和问题解决能力。旨在打造一支专业、高效的执法队伍，为社会的和谐稳定贡献力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针对牧区着手培养一批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法治宣讲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人才，加强法治教育培训。将复杂的法律条文转化为牧民易于理解的语言，确保法治宣传资料能够准确无误地传达给每一位牧民。打破语言障碍，提升牧民的法治意识和法律素养。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对于牧区偏远散的特点，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我镇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将制定一系列针对性的普法措施。充分考虑牧民的居住环境和生活习惯，采用灵活多样的宣传方式，如流动宣传车、牧民大会、网络平台等，确保法治宣传能够覆盖到牧区的每一个角落。同时，还将结合牧区的实际情况，制作适合牧民需求的法治宣传资料，如宣传单、短视频等，以提高宣传的吸引力和实效性。通过这些措施的实施，期望能够逐步构建起覆盖牧区的法治宣传网络，推动法治社会的全面建设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zZlZTAwYzk4MDYwYTM0YjdmYjA0MTUyOWFmOTQifQ=="/>
  </w:docVars>
  <w:rsids>
    <w:rsidRoot w:val="00000000"/>
    <w:rsid w:val="0966587B"/>
    <w:rsid w:val="1AD20157"/>
    <w:rsid w:val="1BAA420B"/>
    <w:rsid w:val="1FD528C2"/>
    <w:rsid w:val="25ED0A75"/>
    <w:rsid w:val="25F61CB2"/>
    <w:rsid w:val="291A1269"/>
    <w:rsid w:val="2FD157CD"/>
    <w:rsid w:val="3AD87A73"/>
    <w:rsid w:val="3BC60D6A"/>
    <w:rsid w:val="3DA74456"/>
    <w:rsid w:val="3F481BCB"/>
    <w:rsid w:val="41295DE2"/>
    <w:rsid w:val="4EED2AC2"/>
    <w:rsid w:val="573945F7"/>
    <w:rsid w:val="588642CA"/>
    <w:rsid w:val="6254796C"/>
    <w:rsid w:val="627D4628"/>
    <w:rsid w:val="672D42C3"/>
    <w:rsid w:val="6970439E"/>
    <w:rsid w:val="6E0B6AFD"/>
    <w:rsid w:val="712C2CB8"/>
    <w:rsid w:val="7395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autoRedefine/>
    <w:unhideWhenUsed/>
    <w:qFormat/>
    <w:uiPriority w:val="39"/>
    <w:pPr>
      <w:spacing w:line="540" w:lineRule="exact"/>
      <w:jc w:val="left"/>
    </w:pPr>
    <w:rPr>
      <w:rFonts w:ascii="黑体" w:hAnsi="黑体" w:eastAsia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2485</Words>
  <Characters>2497</Characters>
  <Lines>0</Lines>
  <Paragraphs>0</Paragraphs>
  <TotalTime>22</TotalTime>
  <ScaleCrop>false</ScaleCrop>
  <LinksUpToDate>false</LinksUpToDate>
  <CharactersWithSpaces>2499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2023-04-23T02:45:00Z</dcterms:created>
  <dc:creator>saki</dc:creator>
  <cp:lastModifiedBy>喜文</cp:lastModifiedBy>
  <dcterms:modified xsi:type="dcterms:W3CDTF">2025-03-21T09:34:54Z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A9B8D44A5BD747FE83AA53F8C62D1159_12</vt:lpwstr>
  </property>
  <property fmtid="{D5CDD505-2E9C-101B-9397-08002B2CF9AE}" pid="4" name="KSOTemplateDocerSaveRecord">
    <vt:lpwstr>eyJoZGlkIjoiYjkyZmNhZmMwYTRkMzdjNDc0ZDBiODA4ZTNmNjg2YzYiLCJ1c2VySWQiOiI0MjAxMzI0MTYifQ==</vt:lpwstr>
  </property>
</Properties>
</file>