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adjustRightInd/>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adjustRightInd/>
        <w:snapToGrid w:val="0"/>
        <w:spacing w:line="56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45</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pacing w:val="6"/>
          <w:sz w:val="32"/>
          <w:szCs w:val="32"/>
          <w:lang w:val="en-US" w:eastAsia="zh-CN"/>
        </w:rPr>
        <w:t>乌苏市伟妍棉业有限公司</w:t>
      </w: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lang w:eastAsia="zh-CN"/>
        </w:rPr>
        <w:t>《营业执照》</w:t>
      </w: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仿宋_GB2312" w:hAnsi="仿宋_GB2312" w:eastAsia="仿宋_GB2312" w:cs="仿宋_GB2312"/>
          <w:spacing w:val="-11"/>
          <w:sz w:val="32"/>
          <w:szCs w:val="32"/>
          <w:lang w:val="en-US" w:eastAsia="zh-CN"/>
        </w:rPr>
      </w:pPr>
      <w:r>
        <w:rPr>
          <w:rFonts w:hint="eastAsia" w:ascii="Times New Roman" w:hAnsi="Times New Roman" w:eastAsia="仿宋_GB2312" w:cs="Mongolian Baiti"/>
          <w:kern w:val="1"/>
          <w:sz w:val="32"/>
          <w:szCs w:val="32"/>
        </w:rPr>
        <w:t>统一社会信</w:t>
      </w:r>
      <w:r>
        <w:rPr>
          <w:rFonts w:hint="eastAsia" w:ascii="Times New Roman" w:hAnsi="Times New Roman" w:eastAsia="仿宋_GB2312" w:cs="微软雅黑"/>
          <w:bCs/>
          <w:kern w:val="1"/>
          <w:sz w:val="32"/>
          <w:szCs w:val="32"/>
        </w:rPr>
        <w:t>用代码：</w:t>
      </w:r>
      <w:r>
        <w:rPr>
          <w:rFonts w:hint="eastAsia" w:ascii="仿宋_GB2312" w:hAnsi="仿宋_GB2312" w:eastAsia="仿宋_GB2312" w:cs="仿宋_GB2312"/>
          <w:spacing w:val="-11"/>
          <w:sz w:val="32"/>
          <w:szCs w:val="32"/>
          <w:lang w:val="en-US" w:eastAsia="zh-CN"/>
        </w:rPr>
        <w:t>91654202580215509U</w:t>
      </w: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Times New Roman" w:hAnsi="Times New Roman" w:eastAsia="仿宋_GB2312" w:cs="微软雅黑"/>
          <w:bCs/>
          <w:kern w:val="1"/>
          <w:sz w:val="32"/>
          <w:szCs w:val="32"/>
          <w:lang w:val="en-US" w:eastAsia="zh-CN"/>
        </w:rPr>
      </w:pPr>
      <w:r>
        <w:rPr>
          <w:rFonts w:hint="eastAsia" w:ascii="Times New Roman" w:hAnsi="Times New Roman" w:eastAsia="仿宋_GB2312" w:cs="微软雅黑"/>
          <w:bCs/>
          <w:kern w:val="1"/>
          <w:sz w:val="32"/>
          <w:szCs w:val="32"/>
        </w:rPr>
        <w:t>住所（住址）：</w:t>
      </w:r>
      <w:r>
        <w:rPr>
          <w:rFonts w:hint="eastAsia" w:ascii="仿宋_GB2312" w:hAnsi="仿宋_GB2312" w:eastAsia="仿宋_GB2312" w:cs="仿宋_GB2312"/>
          <w:sz w:val="32"/>
          <w:szCs w:val="32"/>
          <w:lang w:val="en-US" w:eastAsia="zh-CN"/>
        </w:rPr>
        <w:t>新疆塔城地区乌苏市百泉镇大桥开发区</w:t>
      </w:r>
    </w:p>
    <w:p>
      <w:pPr>
        <w:keepNext w:val="0"/>
        <w:keepLines w:val="0"/>
        <w:pageBreakBefore w:val="0"/>
        <w:kinsoku/>
        <w:wordWrap/>
        <w:overflowPunct/>
        <w:topLinePunct w:val="0"/>
        <w:bidi w:val="0"/>
        <w:adjustRightInd/>
        <w:spacing w:line="560" w:lineRule="exact"/>
        <w:ind w:left="0" w:right="0" w:hanging="1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微软雅黑"/>
          <w:bCs/>
          <w:kern w:val="1"/>
          <w:sz w:val="32"/>
          <w:szCs w:val="32"/>
          <w:lang w:val="en-US" w:eastAsia="zh-CN"/>
        </w:rPr>
        <w:t>法定代表人</w:t>
      </w:r>
      <w:r>
        <w:rPr>
          <w:rFonts w:hint="eastAsia" w:ascii="Times New Roman" w:hAnsi="Times New Roman" w:eastAsia="仿宋_GB2312" w:cs="微软雅黑"/>
          <w:bCs/>
          <w:kern w:val="1"/>
          <w:sz w:val="32"/>
          <w:szCs w:val="32"/>
        </w:rPr>
        <w:t>：</w:t>
      </w:r>
      <w:r>
        <w:rPr>
          <w:rFonts w:hint="eastAsia" w:ascii="仿宋_GB2312" w:hAnsi="仿宋_GB2312" w:eastAsia="仿宋_GB2312" w:cs="仿宋_GB2312"/>
          <w:sz w:val="32"/>
          <w:szCs w:val="32"/>
          <w:lang w:val="en-US" w:eastAsia="zh-CN"/>
        </w:rPr>
        <w:t>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2024年10月30日，我局执法人员接到新疆维吾尔自治区市场监督管理局检验室“一试五定”复查表后组成执法小组对位于</w:t>
      </w:r>
      <w:r>
        <w:rPr>
          <w:rFonts w:hint="eastAsia" w:ascii="仿宋_GB2312" w:hAnsi="仿宋_GB2312" w:eastAsia="仿宋_GB2312" w:cs="仿宋_GB2312"/>
          <w:sz w:val="32"/>
          <w:szCs w:val="32"/>
          <w:lang w:val="en-US" w:eastAsia="zh-CN"/>
        </w:rPr>
        <w:t>乌苏市百泉镇大桥开发区</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的</w:t>
      </w:r>
      <w:r>
        <w:rPr>
          <w:rFonts w:hint="eastAsia" w:ascii="仿宋_GB2312" w:hAnsi="仿宋_GB2312" w:eastAsia="仿宋_GB2312" w:cs="仿宋_GB2312"/>
          <w:spacing w:val="6"/>
          <w:sz w:val="32"/>
          <w:szCs w:val="32"/>
          <w:lang w:val="en-US" w:eastAsia="zh-CN"/>
        </w:rPr>
        <w:t>乌苏市伟妍棉业有限公司</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籽棉收购工作进行检查，执法人员依据复查表在该公司棉检室调取相关三车籽棉的收购检验单和收购过磅单内容分别为：1、单据号：1941，棉农：陈**，车号：皖SG6820，含杂率（%）：10.1，经现场复验结果：14.28%；2、单据号：1945，棉农：何**，车号：新42-D0394，含杂率（%）：8.8，经现场复验结果：10.12%；3、单据号：1956，棉农：赵**，车号：新42-37244，含杂率（%）：9.7，经现场复验结果：8.2%。</w:t>
      </w:r>
    </w:p>
    <w:p>
      <w:pPr>
        <w:keepNext w:val="0"/>
        <w:keepLines w:val="0"/>
        <w:pageBreakBefore w:val="0"/>
        <w:widowControl w:val="0"/>
        <w:kinsoku/>
        <w:wordWrap/>
        <w:overflowPunct/>
        <w:topLinePunct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当事人在经营活动中未按照国家标准和技术规范要求收购棉花的行为，涉嫌违反了《棉花质量监督管理条例》第七条第二款的规定。为进一步了解情况，经报局领导批准，于2024年11月14日立案，并指派崔光、张建辉对此案进行调查了解。本案已于2024年12月10日调查终结。</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经查明，</w:t>
      </w:r>
      <w:r>
        <w:rPr>
          <w:rFonts w:hint="eastAsia" w:ascii="仿宋_GB2312" w:hAnsi="仿宋_GB2312" w:eastAsia="仿宋_GB2312" w:cs="仿宋_GB2312"/>
          <w:spacing w:val="6"/>
          <w:sz w:val="32"/>
          <w:szCs w:val="32"/>
          <w:lang w:val="en-US" w:eastAsia="zh-CN"/>
        </w:rPr>
        <w:t>乌苏市伟妍棉业有限公司在</w:t>
      </w:r>
      <w:r>
        <w:rPr>
          <w:rFonts w:hint="eastAsia" w:ascii="仿宋_GB2312" w:hAnsi="仿宋_GB2312" w:eastAsia="仿宋_GB2312" w:cs="仿宋_GB2312"/>
          <w:sz w:val="32"/>
          <w:szCs w:val="32"/>
          <w:lang w:val="en-US" w:eastAsia="zh-CN"/>
        </w:rPr>
        <w:t>2024年10月28日收购籽棉期间，棉农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陈**交售棉花单据号：1941，复检含杂率与该公司原始记录含杂率的检验误差值：4.18%；</w:t>
      </w:r>
      <w:r>
        <w:rPr>
          <w:rFonts w:hint="eastAsia" w:ascii="仿宋_GB2312" w:hAnsi="仿宋_GB2312" w:eastAsia="仿宋_GB2312" w:cs="仿宋_GB2312"/>
          <w:sz w:val="32"/>
          <w:szCs w:val="32"/>
          <w:lang w:val="en-US" w:eastAsia="zh-CN"/>
        </w:rPr>
        <w:t>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何**交售棉花单据号：1945，复检含杂率与该公司原始记录含杂率的检验误差值：-1.32%；</w:t>
      </w:r>
      <w:r>
        <w:rPr>
          <w:rFonts w:hint="eastAsia" w:ascii="仿宋_GB2312" w:hAnsi="仿宋_GB2312" w:eastAsia="仿宋_GB2312" w:cs="仿宋_GB2312"/>
          <w:sz w:val="32"/>
          <w:szCs w:val="32"/>
          <w:lang w:val="en-US" w:eastAsia="zh-CN"/>
        </w:rPr>
        <w:t>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赵**交售棉花单据号：1956，复检含杂率与该公司原始记录含杂率的检验误差值：1.5%。经调查确认，当事人未按照国家标准和技术规范逐车检验籽棉的含杂率，部分检验数据采取估验</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当事人在籽棉收购过程中未严格落实“一试五定”检验，未批批进行检验，已构成未按照国家标准和技术规范要求收购棉花的违法行为。当事人在现场笔录、询问笔录上签字确认，未提出异议。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64"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当事人提供的营业执照复印件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，证明当事人的</w:t>
      </w:r>
      <w:r>
        <w:rPr>
          <w:rFonts w:hint="eastAsia" w:ascii="仿宋_GB2312" w:hAnsi="仿宋_GB2312" w:eastAsia="仿宋_GB2312" w:cs="仿宋_GB2312"/>
          <w:color w:val="000000" w:themeColor="text1"/>
          <w:sz w:val="32"/>
          <w:szCs w:val="32"/>
          <w14:textFill>
            <w14:solidFill>
              <w14:schemeClr w14:val="tx1"/>
            </w14:solidFill>
          </w14:textFill>
        </w:rPr>
        <w:t xml:space="preserve">经营主体资格；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6"/>
          <w:sz w:val="32"/>
          <w:szCs w:val="32"/>
          <w14:textFill>
            <w14:solidFill>
              <w14:schemeClr w14:val="tx1"/>
            </w14:solidFill>
          </w14:textFill>
        </w:rPr>
        <w:t>当事人提供的身份证复印件</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w:t>
      </w:r>
      <w:r>
        <w:rPr>
          <w:rFonts w:hint="eastAsia" w:ascii="仿宋_GB2312" w:hAnsi="仿宋_GB2312" w:eastAsia="仿宋_GB2312" w:cs="仿宋_GB2312"/>
          <w:color w:val="000000" w:themeColor="text1"/>
          <w:spacing w:val="6"/>
          <w:sz w:val="32"/>
          <w:szCs w:val="32"/>
          <w14:textFill>
            <w14:solidFill>
              <w14:schemeClr w14:val="tx1"/>
            </w14:solidFill>
          </w14:textFill>
        </w:rPr>
        <w:t>，证明</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该公司法定代表人</w:t>
      </w:r>
      <w:r>
        <w:rPr>
          <w:rFonts w:hint="eastAsia" w:ascii="仿宋_GB2312" w:hAnsi="仿宋_GB2312" w:eastAsia="仿宋_GB2312" w:cs="仿宋_GB2312"/>
          <w:color w:val="000000" w:themeColor="text1"/>
          <w:spacing w:val="6"/>
          <w:sz w:val="32"/>
          <w:szCs w:val="32"/>
          <w14:textFill>
            <w14:solidFill>
              <w14:schemeClr w14:val="tx1"/>
            </w14:solidFill>
          </w14:textFill>
        </w:rPr>
        <w:t>的身</w:t>
      </w:r>
      <w:r>
        <w:rPr>
          <w:rFonts w:hint="eastAsia" w:ascii="仿宋_GB2312" w:hAnsi="仿宋_GB2312" w:eastAsia="仿宋_GB2312" w:cs="仿宋_GB2312"/>
          <w:color w:val="000000" w:themeColor="text1"/>
          <w:sz w:val="32"/>
          <w:szCs w:val="32"/>
          <w14:textFill>
            <w14:solidFill>
              <w14:schemeClr w14:val="tx1"/>
            </w14:solidFill>
          </w14:textFill>
        </w:rPr>
        <w:t>份信息与营业执照登记的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sz w:val="32"/>
          <w:szCs w:val="32"/>
          <w14:textFill>
            <w14:solidFill>
              <w14:schemeClr w14:val="tx1"/>
            </w14:solidFill>
          </w14:textFill>
        </w:rPr>
        <w:t>一致；</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现场笔录</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份，证明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2024年10月29日</w:t>
      </w:r>
      <w:r>
        <w:rPr>
          <w:rFonts w:hint="eastAsia" w:ascii="仿宋_GB2312" w:hAnsi="仿宋_GB2312" w:eastAsia="仿宋_GB2312" w:cs="仿宋_GB2312"/>
          <w:spacing w:val="6"/>
          <w:sz w:val="32"/>
          <w:szCs w:val="32"/>
          <w:lang w:eastAsia="zh-CN"/>
        </w:rPr>
        <w:t>自治区市场监督管理局与我局执法人员现场检查发现</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未按照国家标准和技术规范开展“一试五定”检验的</w:t>
      </w:r>
      <w:r>
        <w:rPr>
          <w:rFonts w:hint="eastAsia" w:ascii="仿宋_GB2312" w:hAnsi="仿宋_GB2312" w:eastAsia="仿宋_GB2312" w:cs="仿宋_GB2312"/>
          <w:sz w:val="32"/>
          <w:szCs w:val="32"/>
          <w:lang w:eastAsia="zh-CN"/>
        </w:rPr>
        <w:t>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询问笔录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w:t>
      </w:r>
      <w:r>
        <w:rPr>
          <w:rFonts w:hint="eastAsia" w:ascii="仿宋_GB2312" w:hAnsi="仿宋_GB2312" w:eastAsia="仿宋_GB2312" w:cs="仿宋_GB2312"/>
          <w:sz w:val="32"/>
          <w:szCs w:val="32"/>
          <w:lang w:eastAsia="zh-CN"/>
        </w:rPr>
        <w:t>证明当事人在籽棉收购经营活动中，未按</w:t>
      </w:r>
      <w:r>
        <w:rPr>
          <w:rFonts w:hint="eastAsia" w:ascii="仿宋_GB2312" w:hAnsi="仿宋_GB2312" w:eastAsia="仿宋_GB2312" w:cs="仿宋_GB2312"/>
          <w:sz w:val="32"/>
          <w:szCs w:val="32"/>
          <w:lang w:val="en-US" w:eastAsia="zh-CN"/>
        </w:rPr>
        <w:t>国家标准和技术规范</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val="en-US" w:eastAsia="zh-CN"/>
        </w:rPr>
        <w:t>“一试五定”检验的</w:t>
      </w:r>
      <w:r>
        <w:rPr>
          <w:rFonts w:hint="eastAsia" w:ascii="仿宋_GB2312" w:hAnsi="仿宋_GB2312" w:eastAsia="仿宋_GB2312" w:cs="仿宋_GB2312"/>
          <w:sz w:val="32"/>
          <w:szCs w:val="32"/>
          <w:lang w:eastAsia="zh-CN"/>
        </w:rPr>
        <w:t>违法事实；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spacing w:val="-11"/>
          <w:sz w:val="32"/>
          <w:szCs w:val="32"/>
          <w:lang w:val="en-US" w:eastAsia="zh-CN"/>
        </w:rPr>
        <w:t>乌苏市伟妍棉业有限公司籽棉收购一试五定检验登记表</w:t>
      </w:r>
      <w:r>
        <w:rPr>
          <w:rFonts w:hint="eastAsia" w:ascii="仿宋_GB2312" w:hAnsi="仿宋_GB2312" w:eastAsia="仿宋_GB2312" w:cs="仿宋_GB2312"/>
          <w:spacing w:val="-6"/>
          <w:sz w:val="32"/>
          <w:szCs w:val="32"/>
          <w:lang w:val="en-US" w:eastAsia="zh-CN"/>
        </w:rPr>
        <w:t>复印件2份</w:t>
      </w:r>
      <w:r>
        <w:rPr>
          <w:rFonts w:hint="eastAsia" w:ascii="仿宋_GB2312" w:hAnsi="仿宋_GB2312" w:eastAsia="仿宋_GB2312" w:cs="仿宋_GB2312"/>
          <w:spacing w:val="-11"/>
          <w:sz w:val="32"/>
          <w:szCs w:val="32"/>
          <w:lang w:val="en-US" w:eastAsia="zh-CN"/>
        </w:rPr>
        <w:t>、籽棉收购含杂率检验登记表</w:t>
      </w:r>
      <w:r>
        <w:rPr>
          <w:rFonts w:hint="eastAsia" w:ascii="仿宋_GB2312" w:hAnsi="仿宋_GB2312" w:eastAsia="仿宋_GB2312" w:cs="仿宋_GB2312"/>
          <w:spacing w:val="-6"/>
          <w:sz w:val="32"/>
          <w:szCs w:val="32"/>
          <w:lang w:val="en-US" w:eastAsia="zh-CN"/>
        </w:rPr>
        <w:t>复印件1份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pacing w:val="-11"/>
          <w:sz w:val="32"/>
          <w:szCs w:val="32"/>
          <w:u w:val="none"/>
          <w:lang w:val="en-US" w:eastAsia="zh-CN"/>
          <w14:textFill>
            <w14:solidFill>
              <w14:schemeClr w14:val="tx1"/>
            </w14:solidFill>
          </w14:textFill>
        </w:rPr>
        <w:t>证明当事人在籽棉收购经营活动中，未严格执行一试五定检验的事实；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spacing w:val="-11"/>
          <w:sz w:val="32"/>
          <w:szCs w:val="32"/>
          <w:lang w:val="en-US" w:eastAsia="zh-CN"/>
        </w:rPr>
        <w:t>乌苏市伟妍棉业有限公司2024年10月28日开具给棉农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陈**</w:t>
      </w:r>
      <w:r>
        <w:rPr>
          <w:rFonts w:hint="eastAsia" w:ascii="仿宋_GB2312" w:hAnsi="仿宋_GB2312" w:eastAsia="仿宋_GB2312" w:cs="仿宋_GB2312"/>
          <w:spacing w:val="-11"/>
          <w:sz w:val="32"/>
          <w:szCs w:val="32"/>
          <w:lang w:val="en-US" w:eastAsia="zh-CN"/>
        </w:rPr>
        <w:t>籽棉扦样单复印件1份（单据号：</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0001941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z w:val="32"/>
          <w:szCs w:val="32"/>
          <w:lang w:val="en-US" w:eastAsia="zh-CN"/>
        </w:rPr>
        <w:t>、籽棉收购检验单收购过磅单复印件</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1份（单</w:t>
      </w:r>
      <w:r>
        <w:rPr>
          <w:rFonts w:hint="eastAsia" w:ascii="仿宋_GB2312" w:hAnsi="仿宋_GB2312" w:eastAsia="仿宋_GB2312" w:cs="仿宋_GB2312"/>
          <w:spacing w:val="-11"/>
          <w:sz w:val="32"/>
          <w:szCs w:val="32"/>
          <w:lang w:val="en-US" w:eastAsia="zh-CN"/>
        </w:rPr>
        <w:t>据</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号：0000464）、收购过磅单复印件1份（单号：6573800202410284102800012）；</w:t>
      </w:r>
      <w:r>
        <w:rPr>
          <w:rFonts w:hint="eastAsia" w:ascii="仿宋_GB2312" w:hAnsi="仿宋_GB2312" w:eastAsia="仿宋_GB2312" w:cs="仿宋_GB2312"/>
          <w:spacing w:val="-11"/>
          <w:sz w:val="32"/>
          <w:szCs w:val="32"/>
          <w:lang w:val="en-US" w:eastAsia="zh-CN"/>
        </w:rPr>
        <w:t>开具给棉农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何**</w:t>
      </w:r>
      <w:r>
        <w:rPr>
          <w:rFonts w:hint="eastAsia" w:ascii="仿宋_GB2312" w:hAnsi="仿宋_GB2312" w:eastAsia="仿宋_GB2312" w:cs="仿宋_GB2312"/>
          <w:spacing w:val="-11"/>
          <w:sz w:val="32"/>
          <w:szCs w:val="32"/>
          <w:lang w:val="en-US" w:eastAsia="zh-CN"/>
        </w:rPr>
        <w:t>籽棉扦样单复印件1份（单据号：</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0001945</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z w:val="32"/>
          <w:szCs w:val="32"/>
          <w:lang w:val="en-US" w:eastAsia="zh-CN"/>
        </w:rPr>
        <w:t>、籽棉收购检验单收购过磅单复印件</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1份（单</w:t>
      </w:r>
      <w:r>
        <w:rPr>
          <w:rFonts w:hint="eastAsia" w:ascii="仿宋_GB2312" w:hAnsi="仿宋_GB2312" w:eastAsia="仿宋_GB2312" w:cs="仿宋_GB2312"/>
          <w:spacing w:val="-11"/>
          <w:sz w:val="32"/>
          <w:szCs w:val="32"/>
          <w:lang w:val="en-US" w:eastAsia="zh-CN"/>
        </w:rPr>
        <w:t>据</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号：0000466）、收购过磅单复印件1份（单号：6573800202410284102800014）；</w:t>
      </w:r>
      <w:r>
        <w:rPr>
          <w:rFonts w:hint="eastAsia" w:ascii="仿宋_GB2312" w:hAnsi="仿宋_GB2312" w:eastAsia="仿宋_GB2312" w:cs="仿宋_GB2312"/>
          <w:spacing w:val="-11"/>
          <w:sz w:val="32"/>
          <w:szCs w:val="32"/>
          <w:lang w:val="en-US" w:eastAsia="zh-CN"/>
        </w:rPr>
        <w:t>开具给棉农</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赵**</w:t>
      </w:r>
      <w:r>
        <w:rPr>
          <w:rFonts w:hint="eastAsia" w:ascii="仿宋_GB2312" w:hAnsi="仿宋_GB2312" w:eastAsia="仿宋_GB2312" w:cs="仿宋_GB2312"/>
          <w:spacing w:val="-11"/>
          <w:sz w:val="32"/>
          <w:szCs w:val="32"/>
          <w:lang w:val="en-US" w:eastAsia="zh-CN"/>
        </w:rPr>
        <w:t>籽棉扦样单复印件1份（单据号：</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0001956</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z w:val="32"/>
          <w:szCs w:val="32"/>
          <w:lang w:val="en-US" w:eastAsia="zh-CN"/>
        </w:rPr>
        <w:t>、籽棉收购检验单收购过磅单复印件</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1份（单</w:t>
      </w:r>
      <w:r>
        <w:rPr>
          <w:rFonts w:hint="eastAsia" w:ascii="仿宋_GB2312" w:hAnsi="仿宋_GB2312" w:eastAsia="仿宋_GB2312" w:cs="仿宋_GB2312"/>
          <w:spacing w:val="-11"/>
          <w:sz w:val="32"/>
          <w:szCs w:val="32"/>
          <w:lang w:val="en-US" w:eastAsia="zh-CN"/>
        </w:rPr>
        <w:t>据</w:t>
      </w:r>
      <w:r>
        <w:rPr>
          <w:rFonts w:hint="eastAsia" w:ascii="仿宋_GB2312" w:hAnsi="仿宋_GB2312" w:eastAsia="仿宋_GB2312" w:cs="仿宋_GB2312"/>
          <w:color w:val="000000" w:themeColor="text1"/>
          <w:kern w:val="1"/>
          <w:sz w:val="32"/>
          <w:szCs w:val="32"/>
          <w:u w:val="none"/>
          <w:lang w:val="en-US" w:eastAsia="zh-CN"/>
          <w14:textFill>
            <w14:solidFill>
              <w14:schemeClr w14:val="tx1"/>
            </w14:solidFill>
          </w14:textFill>
        </w:rPr>
        <w:t>号：0000474）、收购过磅单复印件1份（单号：6573800202410284102800013）；</w:t>
      </w:r>
      <w:r>
        <w:rPr>
          <w:rFonts w:hint="eastAsia" w:ascii="仿宋_GB2312" w:hAnsi="仿宋_GB2312" w:eastAsia="仿宋_GB2312" w:cs="仿宋_GB2312"/>
          <w:sz w:val="32"/>
          <w:szCs w:val="32"/>
          <w:lang w:val="en-US" w:eastAsia="zh-CN"/>
        </w:rPr>
        <w:t>证明当事人</w:t>
      </w:r>
      <w:r>
        <w:rPr>
          <w:rFonts w:hint="eastAsia" w:ascii="仿宋_GB2312" w:hAnsi="仿宋_GB2312" w:eastAsia="仿宋_GB2312" w:cs="仿宋_GB2312"/>
          <w:sz w:val="32"/>
          <w:szCs w:val="32"/>
          <w:lang w:eastAsia="zh-CN"/>
        </w:rPr>
        <w:t>在籽棉收购经营活动中，未按规定进行</w:t>
      </w:r>
      <w:r>
        <w:rPr>
          <w:rFonts w:hint="eastAsia" w:ascii="仿宋_GB2312" w:hAnsi="仿宋_GB2312" w:eastAsia="仿宋_GB2312" w:cs="仿宋_GB2312"/>
          <w:sz w:val="32"/>
          <w:szCs w:val="32"/>
          <w:lang w:val="en-US" w:eastAsia="zh-CN"/>
        </w:rPr>
        <w:t>“一试五定”检验的</w:t>
      </w:r>
      <w:r>
        <w:rPr>
          <w:rFonts w:hint="eastAsia" w:ascii="仿宋_GB2312" w:hAnsi="仿宋_GB2312" w:eastAsia="仿宋_GB2312" w:cs="仿宋_GB2312"/>
          <w:sz w:val="32"/>
          <w:szCs w:val="32"/>
          <w:lang w:eastAsia="zh-CN"/>
        </w:rPr>
        <w:t>违法事实；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7、新疆维吾尔自治区市场监督管理局出具的</w:t>
      </w:r>
      <w:r>
        <w:rPr>
          <w:rFonts w:hint="eastAsia" w:ascii="仿宋_GB2312" w:hAnsi="仿宋_GB2312" w:eastAsia="仿宋_GB2312" w:cs="仿宋_GB2312"/>
          <w:spacing w:val="-11"/>
          <w:sz w:val="32"/>
          <w:szCs w:val="32"/>
          <w:lang w:val="en-US" w:eastAsia="zh-CN"/>
        </w:rPr>
        <w:t>检验室“一试五定”复查表1份，证明当事人在收购籽棉经营活动中，含杂率未按照国家标准和技术规范进行检验的违法事实。</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拍摄照片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3张、音像视频资料1份，</w:t>
      </w:r>
      <w:r>
        <w:rPr>
          <w:rFonts w:hint="eastAsia" w:ascii="仿宋_GB2312" w:hAnsi="仿宋_GB2312" w:eastAsia="仿宋_GB2312" w:cs="仿宋_GB2312"/>
          <w:kern w:val="1"/>
          <w:sz w:val="32"/>
          <w:szCs w:val="32"/>
        </w:rPr>
        <w:t>证明执法人员对乌苏市</w:t>
      </w:r>
      <w:r>
        <w:rPr>
          <w:rFonts w:hint="eastAsia" w:ascii="仿宋_GB2312" w:hAnsi="仿宋_GB2312" w:eastAsia="仿宋_GB2312" w:cs="仿宋_GB2312"/>
          <w:kern w:val="1"/>
          <w:sz w:val="32"/>
          <w:szCs w:val="32"/>
          <w:lang w:eastAsia="zh-CN"/>
        </w:rPr>
        <w:t>伟妍棉业有限公司进</w:t>
      </w:r>
      <w:r>
        <w:rPr>
          <w:rFonts w:hint="eastAsia" w:ascii="仿宋_GB2312" w:hAnsi="仿宋_GB2312" w:eastAsia="仿宋_GB2312" w:cs="仿宋_GB2312"/>
          <w:kern w:val="1"/>
          <w:sz w:val="32"/>
          <w:szCs w:val="32"/>
        </w:rPr>
        <w:t>行</w:t>
      </w:r>
      <w:r>
        <w:rPr>
          <w:rFonts w:hint="eastAsia" w:ascii="仿宋_GB2312" w:hAnsi="仿宋_GB2312" w:eastAsia="仿宋_GB2312" w:cs="仿宋_GB2312"/>
          <w:kern w:val="1"/>
          <w:sz w:val="32"/>
          <w:szCs w:val="32"/>
          <w:lang w:eastAsia="zh-CN"/>
        </w:rPr>
        <w:t>现场</w:t>
      </w:r>
      <w:r>
        <w:rPr>
          <w:rFonts w:hint="eastAsia" w:ascii="仿宋_GB2312" w:hAnsi="仿宋_GB2312" w:eastAsia="仿宋_GB2312" w:cs="仿宋_GB2312"/>
          <w:kern w:val="1"/>
          <w:sz w:val="32"/>
          <w:szCs w:val="32"/>
        </w:rPr>
        <w:t>检查发现当事人</w:t>
      </w:r>
      <w:r>
        <w:rPr>
          <w:rFonts w:hint="eastAsia" w:ascii="仿宋_GB2312" w:hAnsi="仿宋_GB2312" w:eastAsia="仿宋_GB2312" w:cs="仿宋_GB2312"/>
          <w:kern w:val="1"/>
          <w:sz w:val="32"/>
          <w:szCs w:val="32"/>
          <w:lang w:eastAsia="zh-CN"/>
        </w:rPr>
        <w:t>未按照国家标准和技术规范收购籽棉</w:t>
      </w:r>
      <w:r>
        <w:rPr>
          <w:rFonts w:hint="eastAsia" w:ascii="仿宋_GB2312" w:hAnsi="仿宋_GB2312" w:eastAsia="仿宋_GB2312" w:cs="仿宋_GB2312"/>
          <w:kern w:val="1"/>
          <w:sz w:val="32"/>
          <w:szCs w:val="32"/>
        </w:rPr>
        <w:t>的事实</w:t>
      </w:r>
      <w:r>
        <w:rPr>
          <w:rFonts w:hint="eastAsia" w:ascii="仿宋_GB2312" w:hAnsi="仿宋_GB2312"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2025年1月20日向当事人依法送达了《行政处罚告知书》（塔乌市监罚告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当事人在收购棉花的过程中未严格按照国家标准和技术规范执行一试五定检验，对部分项目采取估验确定收购棉花的类别、等级、数量的行为，违反了《棉花质量监督管理条例》第七条第二款：“棉花经营者收购棉花时，应当按照国家标准和技术规范，排除异性纤维和其他有害物质后确定所收购棉</w:t>
      </w:r>
      <w:r>
        <w:rPr>
          <w:rFonts w:hint="eastAsia" w:ascii="仿宋_GB2312" w:hAnsi="仿宋_GB2312" w:eastAsia="仿宋_GB2312" w:cs="仿宋_GB2312"/>
          <w:spacing w:val="-6"/>
          <w:sz w:val="32"/>
          <w:szCs w:val="32"/>
          <w:lang w:val="en-US" w:eastAsia="zh-CN"/>
        </w:rPr>
        <w:t>花的类别、等级、数量；所收购的棉花超出国家规定的水分标准的，应当晾晒、烘干等技术处理，保证棉花质量。”的规定，属违法行为。</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pacing w:val="-6"/>
          <w:sz w:val="32"/>
          <w:szCs w:val="32"/>
          <w:u w:val="none"/>
          <w:lang w:eastAsia="zh-CN"/>
          <w14:textFill>
            <w14:solidFill>
              <w14:schemeClr w14:val="tx1"/>
            </w14:solidFill>
          </w14:textFill>
        </w:rPr>
        <w:t>鉴于当事人在案件调查过程中</w:t>
      </w:r>
      <w:r>
        <w:rPr>
          <w:rFonts w:hint="eastAsia" w:ascii="仿宋_GB2312" w:hAnsi="仿宋_GB2312" w:eastAsia="仿宋_GB2312" w:cs="仿宋_GB2312"/>
          <w:color w:val="000000" w:themeColor="text1"/>
          <w:spacing w:val="-6"/>
          <w:sz w:val="32"/>
          <w:szCs w:val="32"/>
          <w:u w:val="none"/>
          <w:lang w:val="en-US" w:eastAsia="zh-CN"/>
          <w14:textFill>
            <w14:solidFill>
              <w14:schemeClr w14:val="tx1"/>
            </w14:solidFill>
          </w14:textFill>
        </w:rPr>
        <w:t>态度端正，积极配合案件调查并如实陈述违法事实，</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违法行为危害后果轻微，认识深刻并积极主动改正，通过学习法律法规认识到自身的错误，承诺今后在经营活动中遵纪守法。当事人</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规定，参照《新疆维吾尔自治区  新疆生产建设兵团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w:t>
      </w:r>
      <w:bookmarkStart w:id="3" w:name="_GoBack"/>
      <w:bookmarkEnd w:id="3"/>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级置放的行为。法律依据：《棉花质量监督管理条例》第二十四条：“棉花经营者收购棉花，违反本条例第七条第二款、第三款的规定，不按照国家标准和技术规范排除异性纤维和其他有害物质后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级或长度或回潮率进行估验确定棉花等级、数量的；裁量基准：（1）责令改正；（2）可以处9000元以</w:t>
      </w:r>
      <w:r>
        <w:rPr>
          <w:rFonts w:hint="eastAsia" w:ascii="仿宋_GB2312" w:hAnsi="仿宋_GB2312" w:eastAsia="仿宋_GB2312" w:cs="仿宋_GB2312"/>
          <w:b w:val="0"/>
          <w:bCs/>
          <w:color w:val="000000" w:themeColor="text1"/>
          <w:spacing w:val="-11"/>
          <w:sz w:val="32"/>
          <w:szCs w:val="32"/>
          <w:u w:val="none"/>
          <w:lang w:val="en-US" w:eastAsia="zh-CN"/>
          <w14:textFill>
            <w14:solidFill>
              <w14:schemeClr w14:val="tx1"/>
            </w14:solidFill>
          </w14:textFill>
        </w:rPr>
        <w:t>上2.1万元以下罚款。”的规定，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综合考虑个案情况、当事人主客观等相关因素，决定给予当事人一般行政处罚。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依据《棉花质量监督管理条例》第二十四条：“棉花经营者收购棉花，违反本条例第七条第二款、第三款的规定，不按照国家标准和技术规范排除异性纤维和其他有害物质后确定所收购的棉花的类别、等级、数量，或</w:t>
      </w:r>
      <w:r>
        <w:rPr>
          <w:rFonts w:hint="eastAsia" w:ascii="仿宋_GB2312" w:hAnsi="仿宋_GB2312" w:eastAsia="仿宋_GB2312" w:cs="仿宋_GB2312"/>
          <w:color w:val="000000" w:themeColor="text1"/>
          <w:spacing w:val="6"/>
          <w:sz w:val="32"/>
          <w:szCs w:val="32"/>
          <w:u w:val="none"/>
          <w:lang w:val="en-US" w:eastAsia="zh-CN"/>
          <w14:textFill>
            <w14:solidFill>
              <w14:schemeClr w14:val="tx1"/>
            </w14:solidFill>
          </w14:textFill>
        </w:rPr>
        <w:t>者对所收购的棉花超出国家规定水分标准的棉花不进行技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处10000元罚款。 </w:t>
      </w:r>
      <w:r>
        <w:rPr>
          <w:rFonts w:hint="eastAsia" w:ascii="仿宋_GB2312" w:hAnsi="仿宋_GB2312" w:eastAsia="仿宋_GB2312" w:cs="仿宋_GB2312"/>
          <w:b w:val="0"/>
          <w:bCs/>
          <w:i w:val="0"/>
          <w:iCs w:val="0"/>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adjustRightInd/>
        <w:spacing w:line="560" w:lineRule="exact"/>
        <w:ind w:left="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spacing w:line="560" w:lineRule="exact"/>
        <w:ind w:left="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adjustRightInd/>
        <w:spacing w:line="560" w:lineRule="exact"/>
        <w:ind w:left="0" w:right="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kinsoku/>
        <w:wordWrap/>
        <w:overflowPunct/>
        <w:topLinePunct w:val="0"/>
        <w:bidi w:val="0"/>
        <w:adjustRightInd/>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keepNext w:val="0"/>
        <w:keepLines w:val="0"/>
        <w:pageBreakBefore w:val="0"/>
        <w:kinsoku/>
        <w:wordWrap/>
        <w:overflowPunct/>
        <w:topLinePunct w:val="0"/>
        <w:bidi w:val="0"/>
        <w:adjustRightInd/>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2F73A82"/>
    <w:rsid w:val="032F35B2"/>
    <w:rsid w:val="088550DF"/>
    <w:rsid w:val="12003516"/>
    <w:rsid w:val="12C819F7"/>
    <w:rsid w:val="14F07C21"/>
    <w:rsid w:val="153B7145"/>
    <w:rsid w:val="19031A95"/>
    <w:rsid w:val="19993659"/>
    <w:rsid w:val="19C8581D"/>
    <w:rsid w:val="1C8D2AF7"/>
    <w:rsid w:val="20A24FCB"/>
    <w:rsid w:val="2227206A"/>
    <w:rsid w:val="238A3149"/>
    <w:rsid w:val="23A737DF"/>
    <w:rsid w:val="23D435D7"/>
    <w:rsid w:val="24D413E7"/>
    <w:rsid w:val="255802FD"/>
    <w:rsid w:val="27F6492F"/>
    <w:rsid w:val="29F426D3"/>
    <w:rsid w:val="2D8E6DFE"/>
    <w:rsid w:val="30354AD0"/>
    <w:rsid w:val="305F5C2C"/>
    <w:rsid w:val="34922019"/>
    <w:rsid w:val="36D111CE"/>
    <w:rsid w:val="3F390295"/>
    <w:rsid w:val="444051F9"/>
    <w:rsid w:val="4D7164F3"/>
    <w:rsid w:val="4DC70853"/>
    <w:rsid w:val="4E5F2C97"/>
    <w:rsid w:val="502F6378"/>
    <w:rsid w:val="50A10ED8"/>
    <w:rsid w:val="549E7D87"/>
    <w:rsid w:val="552B4AC9"/>
    <w:rsid w:val="5AF50649"/>
    <w:rsid w:val="5CC112E7"/>
    <w:rsid w:val="5DFE05C1"/>
    <w:rsid w:val="5F933EDA"/>
    <w:rsid w:val="62F435E7"/>
    <w:rsid w:val="630442F9"/>
    <w:rsid w:val="64D4607B"/>
    <w:rsid w:val="684F1F78"/>
    <w:rsid w:val="69911D93"/>
    <w:rsid w:val="6D24429C"/>
    <w:rsid w:val="6F8B248C"/>
    <w:rsid w:val="71531476"/>
    <w:rsid w:val="72BB35C8"/>
    <w:rsid w:val="74BD4884"/>
    <w:rsid w:val="77CC4230"/>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2990</Words>
  <Characters>3287</Characters>
  <Lines>0</Lines>
  <Paragraphs>0</Paragraphs>
  <TotalTime>295</TotalTime>
  <ScaleCrop>false</ScaleCrop>
  <LinksUpToDate>false</LinksUpToDate>
  <CharactersWithSpaces>3413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2025-03-21T10:55:49Z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