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adjustRightInd/>
        <w:spacing w:line="560" w:lineRule="exact"/>
        <w:ind w:left="0" w:leftChars="0" w:right="0" w:firstLine="0" w:firstLineChars="0"/>
        <w:jc w:val="center"/>
        <w:textAlignment w:val="auto"/>
        <w:outlineLvl w:val="9"/>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adjustRightInd/>
        <w:spacing w:line="560" w:lineRule="exact"/>
        <w:ind w:left="0" w:leftChars="0" w:right="0" w:firstLine="0" w:firstLineChars="0"/>
        <w:jc w:val="center"/>
        <w:textAlignment w:val="auto"/>
        <w:outlineLvl w:val="9"/>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adjustRightInd/>
        <w:snapToGrid w:val="0"/>
        <w:spacing w:line="560" w:lineRule="exact"/>
        <w:ind w:left="0" w:leftChars="0" w:right="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34ZO4tYAAAAL&#10;AQAADwAAAGRycy9kb3ducmV2LnhtbE2PQU+EMBCF7yb+h2ZMvBi3gBtEpOzBxJMHcdcfMNAKRDol&#10;tCz13zvGg95m5r28+V51iHYSZ7P40ZGCdJeAMNQ5PVKv4P30fFuA8AFJ4+TIKPgyHg715UWFpXYb&#10;vZnzMfSCQ8iXqGAIYS6l9N1gLPqdmw2x9uEWi4HXpZd6wY3D7SSzJMmlxZH4w4CzeRpM93lcrYL4&#10;mlOITRHbjdYXX9w0EW2j1PVVmjyCCCaGPzP84DM61MzUupW0F5OCPTcJCu6y+5wnNjyk6R5E+3vK&#10;QNaV/N+h/gZQSwMEFAAAAAgAh07iQJfLWK0HAgAA/AMAAA4AAABkcnMvZTJvRG9jLnhtbK1TzW4T&#10;MRC+I/EOlu9ks5HaklU2PSSUC4JIwAM4tnfXkv/kcbLJS/ACSJyAE3DqvU8D5TE69qYplEsO7ME7&#10;9sx8M9/n8exyZzTZygDK2ZqWozEl0nInlG1r+v7d1bPnlEBkVjDtrKzpXgK9nD99Mut9JSeuc1rI&#10;QBDEQtX7mnYx+qoogHfSMBg5Ly06GxcMi7gNbSEC6xHd6GIyHp8XvQvCB8clAJ4uByc9IIZTAF3T&#10;KC6Xjm+MtHFADVKziJSgUx7oPHfbNJLHN00DMhJdU2Qa84pF0F6ntZjPWNUG5jvFDy2wU1p4xMkw&#10;ZbHoEWrJIiOboP6BMooHB66JI+5MMRDJiiCLcvxIm7cd8zJzQanBH0WH/wfLX29XgSiBk0CJZQYv&#10;/Pbj9a8PX25/fP/5+fr3zadkf/tKyiRV76HCjIVdhcMO/Cok3rsmmPRHRmSX5d0f5ZW7SDgenl2c&#10;l9MpKs/RV04usvrFQ64PEF9KZ0gyagoxMNV2ceGsxXt0ocwKs+0riFgdE+8TUmFtSY+o0/FZKsBw&#10;MBscCDSNR3Jg25wMTitxpbROKRDa9UIHsmVpOPKXSCLwX2GpypJBN8Rl1zA2nWTihRUk7j3KZvG1&#10;0NSDkYISLfFxJQsBWRWZ0qdEYmltsYOk86BsstZO7PGSNj4kOQ6y5hgcitzvYYDT1P25z0gPj3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GTuLWAAAACwEAAA8AAAAAAAAAAQAgAAAAIgAAAGRy&#10;cy9kb3ducmV2LnhtbFBLAQIUABQAAAAIAIdO4kCXy1itBwIAAPwDAAAOAAAAAAAAAAEAIAAAACUB&#10;AABkcnMvZTJvRG9jLnhtbFBLBQYAAAAABgAGAFkBAACeBQAAAAA=&#10;">
                <v:fill on="f" focussize="0,0"/>
                <v:stroke weight="1.5pt" color="#000000" joinstyle="round"/>
                <v:imagedata o:title=""/>
                <o:lock v:ext="edit" aspectratio="f"/>
              </v:shape>
            </w:pict>
          </mc:Fallback>
        </mc:AlternateContent>
      </w:r>
      <w:r>
        <w:rPr>
          <w:rFonts w:hint="eastAsia" w:ascii="仿宋_GB2312" w:hAnsi="仿宋_GB2312" w:eastAsia="仿宋_GB2312" w:cs="仿宋_GB2312"/>
          <w:color w:val="000000"/>
          <w:sz w:val="32"/>
          <w:szCs w:val="32"/>
          <w:lang w:val="en-US" w:eastAsia="zh-CN"/>
        </w:rPr>
        <w:t>塔</w:t>
      </w:r>
      <w:r>
        <w:rPr>
          <w:rFonts w:hint="eastAsia" w:ascii="仿宋_GB2312" w:hAnsi="仿宋_GB2312" w:eastAsia="仿宋_GB2312" w:cs="仿宋_GB2312"/>
          <w:color w:val="000000"/>
          <w:sz w:val="32"/>
          <w:szCs w:val="32"/>
        </w:rPr>
        <w:t>乌市</w:t>
      </w:r>
      <w:r>
        <w:rPr>
          <w:rFonts w:hint="eastAsia" w:ascii="仿宋_GB2312" w:hAnsi="仿宋_GB2312" w:eastAsia="仿宋_GB2312" w:cs="仿宋_GB2312"/>
          <w:color w:val="000000"/>
          <w:sz w:val="32"/>
          <w:szCs w:val="32"/>
          <w:lang w:eastAsia="zh-CN"/>
        </w:rPr>
        <w:t>监</w:t>
      </w:r>
      <w:r>
        <w:rPr>
          <w:rFonts w:hint="eastAsia" w:ascii="仿宋_GB2312" w:hAnsi="仿宋_GB2312" w:eastAsia="仿宋_GB2312" w:cs="仿宋_GB2312"/>
          <w:color w:val="000000"/>
          <w:sz w:val="32"/>
          <w:szCs w:val="32"/>
        </w:rPr>
        <w:t>处</w:t>
      </w:r>
      <w:r>
        <w:rPr>
          <w:rFonts w:hint="eastAsia" w:ascii="仿宋_GB2312" w:hAnsi="仿宋_GB2312" w:eastAsia="仿宋_GB2312" w:cs="仿宋_GB2312"/>
          <w:color w:val="000000"/>
          <w:sz w:val="32"/>
          <w:szCs w:val="32"/>
          <w:lang w:val="en-US" w:eastAsia="zh-CN"/>
        </w:rPr>
        <w:t>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sz w:val="32"/>
          <w:szCs w:val="32"/>
          <w:lang w:val="en-US" w:eastAsia="zh-CN"/>
        </w:rPr>
        <w:t>（当事人相关信息详见附件吊销企业名单）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住所（经营场所）：见附件吊销企业名单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法定代表人（负责人）：见附件吊销企业名单</w:t>
      </w:r>
    </w:p>
    <w:p>
      <w:pPr>
        <w:pStyle w:val="5"/>
        <w:keepNext w:val="0"/>
        <w:keepLines w:val="0"/>
        <w:pageBreakBefore w:val="0"/>
        <w:widowControl/>
        <w:pBdr>
          <w:top w:val="none" w:color="auto" w:sz="0" w:space="0"/>
          <w:left w:val="none" w:color="auto" w:sz="0" w:space="0"/>
          <w:bottom w:val="none" w:color="auto" w:sz="0" w:space="0"/>
          <w:right w:val="none" w:color="auto" w:sz="0" w:space="0"/>
        </w:pBdr>
        <w:wordWrap/>
        <w:overflowPunct/>
        <w:topLinePunct w:val="0"/>
        <w:bidi w:val="0"/>
        <w:adjustRightIn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2024年11月至2024年12月，</w:t>
      </w:r>
      <w:r>
        <w:rPr>
          <w:rFonts w:hint="eastAsia" w:ascii="仿宋_GB2312" w:hAnsi="仿宋_GB2312" w:eastAsia="仿宋_GB2312" w:cs="仿宋_GB2312"/>
          <w:bCs/>
          <w:sz w:val="32"/>
          <w:szCs w:val="32"/>
          <w:lang w:val="en-US" w:eastAsia="zh-CN"/>
        </w:rPr>
        <w:t xml:space="preserve"> 我局执法人员在企业年报巡查工作中，通过新疆市场监管登记和许可审批系统搜索查询，发现</w:t>
      </w:r>
      <w:r>
        <w:rPr>
          <w:rFonts w:hint="eastAsia" w:ascii="仿宋" w:hAnsi="仿宋" w:eastAsia="仿宋" w:cs="仿宋"/>
          <w:sz w:val="32"/>
          <w:szCs w:val="32"/>
          <w:lang w:val="en-US" w:eastAsia="zh-CN"/>
        </w:rPr>
        <w:t>乌苏皖北药业有限责任公司等23家企业</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被列入经营异常名录未改正，且通过登记的住所或者经营场所无法取得联系</w:t>
      </w:r>
      <w:r>
        <w:rPr>
          <w:rFonts w:hint="eastAsia" w:ascii="仿宋_GB2312" w:hAnsi="仿宋_GB2312" w:eastAsia="仿宋_GB2312" w:cs="仿宋_GB2312"/>
          <w:bCs/>
          <w:sz w:val="32"/>
          <w:szCs w:val="32"/>
          <w:lang w:val="en-US" w:eastAsia="zh-CN"/>
        </w:rPr>
        <w:t>的违法行为，涉嫌违反了</w:t>
      </w:r>
      <w:r>
        <w:rPr>
          <w:rFonts w:hint="eastAsia" w:ascii="仿宋" w:hAnsi="仿宋" w:eastAsia="仿宋" w:cs="仿宋"/>
          <w:sz w:val="24"/>
          <w:szCs w:val="24"/>
          <w:lang w:val="en-US" w:eastAsia="zh-CN"/>
        </w:rPr>
        <w:t>《</w:t>
      </w:r>
      <w:r>
        <w:rPr>
          <w:rFonts w:hint="eastAsia" w:ascii="仿宋" w:hAnsi="仿宋" w:eastAsia="仿宋" w:cs="仿宋"/>
          <w:sz w:val="32"/>
          <w:szCs w:val="32"/>
          <w:lang w:val="en-US" w:eastAsia="zh-CN"/>
        </w:rPr>
        <w:t>企业信息公示暂行条例》第八条的规定</w:t>
      </w:r>
      <w:r>
        <w:rPr>
          <w:rFonts w:hint="eastAsia" w:ascii="仿宋_GB2312" w:hAnsi="仿宋_GB2312" w:eastAsia="仿宋_GB2312" w:cs="仿宋_GB2312"/>
          <w:bCs/>
          <w:sz w:val="32"/>
          <w:szCs w:val="32"/>
          <w:lang w:val="en-US" w:eastAsia="zh-CN"/>
        </w:rPr>
        <w:t>。2024年12月12日，我局通过乌苏市人民政府网站发布了《乌苏市市场监督管理局关于企业未按规定报送年度报告的提示性公告》，告知提示</w:t>
      </w:r>
      <w:bookmarkStart w:id="4" w:name="_GoBack"/>
      <w:bookmarkEnd w:id="4"/>
      <w:r>
        <w:rPr>
          <w:rFonts w:hint="eastAsia" w:ascii="仿宋_GB2312" w:hAnsi="仿宋_GB2312" w:eastAsia="仿宋_GB2312" w:cs="仿宋_GB2312"/>
          <w:bCs/>
          <w:sz w:val="32"/>
          <w:szCs w:val="32"/>
          <w:lang w:val="en-US" w:eastAsia="zh-CN"/>
        </w:rPr>
        <w:t>当事人在本公告发布之日起三十个工作日内补报年度报告，或依法申请变更登记、注销登记。2025 年1月13日</w:t>
      </w:r>
      <w:r>
        <w:rPr>
          <w:rFonts w:hint="eastAsia" w:ascii="仿宋_GB2312" w:hAnsi="仿宋_GB2312" w:eastAsia="仿宋_GB2312" w:cs="仿宋_GB2312"/>
          <w:bCs/>
          <w:sz w:val="32"/>
          <w:szCs w:val="32"/>
          <w:lang w:val="en-US" w:eastAsia="zh-CN"/>
        </w:rPr>
        <w:t>经局领导批准立案调查。经我局核查新疆牧绸农业科技有限公司已联系上，并承诺补报年度报告或者办理注销登记。</w:t>
      </w:r>
      <w:r>
        <w:rPr>
          <w:rFonts w:hint="eastAsia" w:ascii="Times New Roman" w:hAnsi="Times New Roman" w:eastAsia="仿宋_GB2312" w:cs="仿宋_GB2312"/>
          <w:bCs/>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sz w:val="32"/>
          <w:szCs w:val="32"/>
          <w:lang w:val="en-US" w:eastAsia="zh-CN"/>
        </w:rPr>
        <w:t>现查明，上述</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sz w:val="32"/>
          <w:szCs w:val="32"/>
          <w:lang w:val="en-US" w:eastAsia="zh-CN"/>
        </w:rPr>
        <w:t>在办</w:t>
      </w:r>
      <w:r>
        <w:rPr>
          <w:rFonts w:hint="eastAsia" w:ascii="Times New Roman" w:hAnsi="Times New Roman" w:eastAsia="仿宋_GB2312" w:cs="仿宋_GB2312"/>
          <w:bCs/>
          <w:sz w:val="32"/>
          <w:szCs w:val="32"/>
          <w:lang w:val="en-US" w:eastAsia="zh-CN"/>
        </w:rPr>
        <w:t>理营业执照后，存在：</w:t>
      </w:r>
      <w:r>
        <w:rPr>
          <w:rFonts w:hint="eastAsia" w:ascii="方正仿宋_GBK" w:hAnsi="方正仿宋_GBK" w:eastAsia="方正仿宋_GBK" w:cs="方正仿宋_GBK"/>
          <w:bCs/>
          <w:sz w:val="32"/>
          <w:szCs w:val="32"/>
          <w:lang w:val="en-US" w:eastAsia="zh-CN"/>
        </w:rPr>
        <w:t>1、</w:t>
      </w:r>
      <w:r>
        <w:rPr>
          <w:rFonts w:hint="eastAsia" w:ascii="仿宋_GB2312" w:hAnsi="仿宋_GB2312" w:eastAsia="仿宋_GB2312" w:cs="仿宋_GB2312"/>
          <w:bCs/>
          <w:sz w:val="32"/>
          <w:szCs w:val="32"/>
          <w:lang w:val="en-US" w:eastAsia="zh-CN"/>
        </w:rPr>
        <w:t>连续两个年度（含以上）未履行年报公示义务；2、企业因连续2年未按规定报送年度报告被列入经营异常名录未改正；3、通过登记的住</w:t>
      </w:r>
      <w:r>
        <w:rPr>
          <w:rFonts w:hint="eastAsia" w:ascii="仿宋_GB2312" w:hAnsi="仿宋_GB2312" w:eastAsia="仿宋_GB2312" w:cs="仿宋_GB2312"/>
          <w:bCs/>
          <w:color w:val="auto"/>
          <w:sz w:val="32"/>
          <w:szCs w:val="32"/>
          <w:lang w:val="en-US" w:eastAsia="zh-CN"/>
        </w:rPr>
        <w:t>所或经营场所无法取得联系。</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上述事实，主要有以下证据证明：</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1.企业基本信息查询单22份，证明</w:t>
      </w:r>
      <w:r>
        <w:rPr>
          <w:rFonts w:hint="eastAsia" w:ascii="仿宋" w:hAnsi="仿宋" w:eastAsia="仿宋" w:cs="仿宋"/>
          <w:sz w:val="32"/>
          <w:szCs w:val="32"/>
          <w:lang w:val="en-US" w:eastAsia="zh-CN"/>
        </w:rPr>
        <w:t>乌苏皖北药业有限责任公司等23家企业</w:t>
      </w:r>
      <w:r>
        <w:rPr>
          <w:rFonts w:hint="eastAsia" w:ascii="仿宋_GB2312" w:hAnsi="仿宋_GB2312" w:eastAsia="仿宋_GB2312" w:cs="仿宋_GB2312"/>
          <w:bCs/>
          <w:color w:val="auto"/>
          <w:sz w:val="32"/>
          <w:szCs w:val="32"/>
          <w:lang w:val="en-US" w:eastAsia="zh-CN"/>
        </w:rPr>
        <w:t>的经营主体资格；</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2.通过新疆市场监管登记和许可审批系统和新疆维吾尔自治区市场监督管理局信用监管服务平台查询截图照片22份，证明</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color w:val="auto"/>
          <w:sz w:val="32"/>
          <w:szCs w:val="32"/>
          <w:u w:val="none"/>
          <w:lang w:val="en-US" w:eastAsia="zh-CN"/>
        </w:rPr>
        <w:t>2022年度、2023年度</w:t>
      </w:r>
      <w:r>
        <w:rPr>
          <w:rFonts w:hint="eastAsia" w:ascii="仿宋_GB2312" w:hAnsi="仿宋_GB2312" w:eastAsia="仿宋_GB2312" w:cs="仿宋_GB2312"/>
          <w:bCs/>
          <w:color w:val="auto"/>
          <w:sz w:val="32"/>
          <w:szCs w:val="32"/>
          <w:lang w:val="en-US" w:eastAsia="zh-CN"/>
        </w:rPr>
        <w:t>连续两个年度（含以上）未依法报送年度报告的事实；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default" w:ascii="仿宋" w:hAnsi="仿宋" w:eastAsia="仿宋" w:cs="仿宋"/>
          <w:sz w:val="32"/>
          <w:szCs w:val="32"/>
          <w:lang w:val="en" w:eastAsia="zh-CN"/>
        </w:rPr>
      </w:pPr>
      <w:r>
        <w:rPr>
          <w:rFonts w:hint="eastAsia" w:ascii="仿宋_GB2312" w:hAnsi="仿宋_GB2312" w:eastAsia="仿宋_GB2312" w:cs="仿宋_GB2312"/>
          <w:bCs/>
          <w:color w:val="auto"/>
          <w:sz w:val="32"/>
          <w:szCs w:val="32"/>
          <w:lang w:val="en-US" w:eastAsia="zh-CN"/>
        </w:rPr>
        <w:t>3.通过新疆市场监管登记和许可审批系统和新疆维吾尔自治区市场监督管理局信用监管服务平台查询截图照片22份，证明</w:t>
      </w:r>
      <w:r>
        <w:rPr>
          <w:rFonts w:hint="eastAsia" w:ascii="仿宋" w:hAnsi="仿宋" w:eastAsia="仿宋" w:cs="仿宋"/>
          <w:sz w:val="32"/>
          <w:szCs w:val="32"/>
          <w:lang w:val="en-US" w:eastAsia="zh-CN"/>
        </w:rPr>
        <w:t>乌苏皖北药业有限责任公司等22家企业因</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被列入经营异常名录未改正的事实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4.现场笔录及现场检查照片22份，证明通过登记的住所或经营场所无法取得联系</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color w:val="auto"/>
          <w:sz w:val="32"/>
          <w:szCs w:val="32"/>
          <w:lang w:val="en-US" w:eastAsia="zh-CN"/>
        </w:rPr>
        <w:t>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default" w:ascii="仿宋" w:hAnsi="仿宋" w:eastAsia="仿宋" w:cs="仿宋"/>
          <w:sz w:val="32"/>
          <w:szCs w:val="32"/>
          <w:lang w:val="en" w:eastAsia="zh-CN"/>
        </w:rPr>
      </w:pPr>
      <w:r>
        <w:rPr>
          <w:rFonts w:hint="eastAsia" w:ascii="仿宋_GB2312" w:hAnsi="仿宋_GB2312" w:eastAsia="仿宋_GB2312" w:cs="仿宋_GB2312"/>
          <w:bCs/>
          <w:color w:val="auto"/>
          <w:sz w:val="32"/>
          <w:szCs w:val="32"/>
          <w:lang w:val="en-US" w:eastAsia="zh-CN"/>
        </w:rPr>
        <w:t>5.在乌苏市人民政府网站发布的《乌苏市市场监督管理局关于企业未按规定报送年度报告的提示性公告》截图1份，证明</w:t>
      </w:r>
      <w:r>
        <w:rPr>
          <w:rFonts w:hint="eastAsia" w:ascii="仿宋" w:hAnsi="仿宋" w:eastAsia="仿宋" w:cs="仿宋"/>
          <w:sz w:val="32"/>
          <w:szCs w:val="32"/>
          <w:lang w:val="en-US" w:eastAsia="zh-CN"/>
        </w:rPr>
        <w:t>乌苏皖北药业有限责任公司等22家企业因</w:t>
      </w:r>
      <w:r>
        <w:rPr>
          <w:rFonts w:hint="eastAsia" w:ascii="仿宋_GB2312" w:hAnsi="仿宋_GB2312" w:eastAsia="仿宋_GB2312" w:cs="仿宋_GB2312"/>
          <w:bCs/>
          <w:sz w:val="32"/>
          <w:szCs w:val="32"/>
          <w:lang w:val="en-US" w:eastAsia="zh-CN"/>
        </w:rPr>
        <w:t>2022年度、2023年度连续两个年度（含以上）未依法报送年度报告</w:t>
      </w:r>
      <w:r>
        <w:rPr>
          <w:rFonts w:hint="eastAsia" w:ascii="仿宋" w:hAnsi="仿宋" w:eastAsia="仿宋" w:cs="仿宋"/>
          <w:sz w:val="32"/>
          <w:szCs w:val="32"/>
          <w:lang w:val="en-US" w:eastAsia="zh-CN"/>
        </w:rPr>
        <w:t>被列入经营异常名录也未改正的事实。</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以上笔录和证据均由执法人员依法提取。</w:t>
      </w:r>
    </w:p>
    <w:p>
      <w:pPr>
        <w:keepNext w:val="0"/>
        <w:keepLines w:val="0"/>
        <w:pageBreakBefore w:val="0"/>
        <w:wordWrap/>
        <w:overflowPunct/>
        <w:topLinePunct w:val="0"/>
        <w:bidi w:val="0"/>
        <w:adjustRightInd/>
        <w:snapToGrid w:val="0"/>
        <w:spacing w:line="560" w:lineRule="exact"/>
        <w:ind w:right="0" w:firstLine="640" w:firstLineChars="200"/>
        <w:jc w:val="left"/>
        <w:textAlignment w:val="auto"/>
        <w:outlineLvl w:val="9"/>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sz w:val="32"/>
          <w:szCs w:val="32"/>
          <w:u w:val="none"/>
          <w:lang w:val="en-US" w:eastAsia="zh-CN"/>
        </w:rPr>
        <w:t>本局于2025年1月24日通过</w:t>
      </w:r>
      <w:r>
        <w:rPr>
          <w:rFonts w:hint="eastAsia" w:ascii="仿宋_GB2312" w:hAnsi="仿宋_GB2312" w:eastAsia="仿宋_GB2312" w:cs="仿宋_GB2312"/>
          <w:bCs/>
          <w:kern w:val="2"/>
          <w:sz w:val="32"/>
          <w:szCs w:val="32"/>
          <w:lang w:val="en-US" w:eastAsia="zh-CN" w:bidi="ar-SA"/>
        </w:rPr>
        <w:t>乌苏市人民政府网站</w:t>
      </w:r>
      <w:r>
        <w:rPr>
          <w:rFonts w:hint="eastAsia" w:ascii="仿宋_GB2312" w:hAnsi="仿宋_GB2312" w:eastAsia="仿宋_GB2312" w:cs="仿宋_GB2312"/>
          <w:color w:val="000000"/>
          <w:sz w:val="32"/>
          <w:szCs w:val="32"/>
          <w:u w:val="none"/>
          <w:lang w:val="en-US" w:eastAsia="zh-CN"/>
        </w:rPr>
        <w:t>对《行政处罚告知</w:t>
      </w:r>
      <w:r>
        <w:rPr>
          <w:rFonts w:hint="eastAsia" w:ascii="仿宋_GB2312" w:hAnsi="仿宋_GB2312" w:eastAsia="仿宋_GB2312" w:cs="仿宋_GB2312"/>
          <w:bCs/>
          <w:kern w:val="2"/>
          <w:sz w:val="32"/>
          <w:szCs w:val="32"/>
          <w:lang w:val="en-US" w:eastAsia="zh-CN" w:bidi="ar-SA"/>
        </w:rPr>
        <w:t>书》（塔乌市监罚告〔2025〕13号）进行了公告，自公告发布之日起经过三十日，视为送达。</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在法定期限内未提出陈述、申辩意见，也未要求听证，视为放弃此权利。</w:t>
      </w:r>
    </w:p>
    <w:p>
      <w:pPr>
        <w:keepNext w:val="0"/>
        <w:keepLines w:val="0"/>
        <w:pageBreakBefore w:val="0"/>
        <w:widowControl/>
        <w:kinsoku w:val="0"/>
        <w:wordWrap/>
        <w:overflowPunct/>
        <w:topLinePunct w:val="0"/>
        <w:autoSpaceDE w:val="0"/>
        <w:autoSpaceDN w:val="0"/>
        <w:bidi w:val="0"/>
        <w:adjustRightInd w:val="0"/>
        <w:snapToGrid w:val="0"/>
        <w:spacing w:beforeLines="0" w:after="20" w:afterLines="0" w:line="580" w:lineRule="exact"/>
        <w:ind w:firstLine="640" w:firstLineChars="200"/>
        <w:jc w:val="both"/>
        <w:textAlignment w:val="baseline"/>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bCs/>
          <w:kern w:val="2"/>
          <w:sz w:val="32"/>
          <w:szCs w:val="32"/>
          <w:lang w:val="en-US" w:eastAsia="zh-CN" w:bidi="ar-SA"/>
        </w:rPr>
        <w:t>本局认为，</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见附件吊销企业名单</w:t>
      </w:r>
      <w:r>
        <w:rPr>
          <w:rFonts w:hint="eastAsia" w:ascii="仿宋_GB2312" w:hAnsi="仿宋_GB2312" w:eastAsia="仿宋_GB2312" w:cs="仿宋_GB2312"/>
          <w:bCs/>
          <w:kern w:val="2"/>
          <w:sz w:val="32"/>
          <w:szCs w:val="32"/>
          <w:lang w:val="en-US" w:eastAsia="zh-CN" w:bidi="ar-SA"/>
        </w:rPr>
        <w:t>）的行为，违反了</w:t>
      </w:r>
      <w:r>
        <w:rPr>
          <w:rFonts w:hint="eastAsia" w:ascii="仿宋_GB2312" w:hAnsi="仿宋_GB2312" w:eastAsia="仿宋_GB2312" w:cs="仿宋_GB2312"/>
          <w:bCs/>
          <w:sz w:val="32"/>
          <w:szCs w:val="32"/>
          <w:lang w:val="en-US" w:eastAsia="zh-CN"/>
        </w:rPr>
        <w:t>《企业信息公示暂行条例》第八条第一款“企业应当于每年1月1日至6月30日，通过国家企业信用信息公示系统向市场监督管理部门报送上一年度年度报告，并向社会公示”和第二款“当年设立登记的企业，自下一年起报送并公示年度报告”的规定，</w:t>
      </w:r>
      <w:r>
        <w:rPr>
          <w:rFonts w:hint="eastAsia" w:ascii="仿宋_GB2312" w:hAnsi="仿宋_GB2312" w:eastAsia="仿宋_GB2312" w:cs="仿宋_GB2312"/>
          <w:color w:val="000000"/>
          <w:spacing w:val="0"/>
          <w:w w:val="100"/>
          <w:position w:val="0"/>
          <w:sz w:val="32"/>
          <w:szCs w:val="32"/>
          <w:lang w:val="en-US" w:eastAsia="zh-CN"/>
        </w:rPr>
        <w:t>构成了</w:t>
      </w:r>
      <w:r>
        <w:rPr>
          <w:rFonts w:hint="eastAsia" w:ascii="仿宋" w:hAnsi="仿宋" w:eastAsia="仿宋" w:cs="仿宋"/>
          <w:sz w:val="32"/>
          <w:szCs w:val="32"/>
          <w:lang w:val="en-US" w:eastAsia="zh-CN"/>
        </w:rPr>
        <w:t>连续两个年度（含以上）未依法报送年度报告被列入经营异常名录未改正，且通过登记的住所或者经营场所无法取得联系的</w:t>
      </w:r>
      <w:r>
        <w:rPr>
          <w:rFonts w:hint="eastAsia" w:ascii="仿宋_GB2312" w:hAnsi="仿宋_GB2312" w:eastAsia="仿宋_GB2312" w:cs="仿宋_GB2312"/>
          <w:color w:val="000000"/>
          <w:spacing w:val="0"/>
          <w:w w:val="100"/>
          <w:position w:val="0"/>
          <w:sz w:val="32"/>
          <w:szCs w:val="32"/>
          <w:lang w:val="en-US" w:eastAsia="zh-CN"/>
        </w:rPr>
        <w:t xml:space="preserve">违法行为。 </w:t>
      </w:r>
    </w:p>
    <w:p>
      <w:pPr>
        <w:keepNext w:val="0"/>
        <w:keepLines w:val="0"/>
        <w:pageBreakBefore w:val="0"/>
        <w:wordWrap/>
        <w:overflowPunct/>
        <w:topLinePunct w:val="0"/>
        <w:bidi w:val="0"/>
        <w:adjustRightInd/>
        <w:snapToGrid w:val="0"/>
        <w:spacing w:line="560" w:lineRule="exact"/>
        <w:ind w:left="0" w:leftChars="0" w:right="0" w:firstLine="640" w:firstLineChars="200"/>
        <w:jc w:val="left"/>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为进一步优化营商环境，加快长期未经营企业退出机制，根据法律法规和原工商总局、税务总局《关于清理长期停业未经营企业工作有关问题的通知》要求，依法开展清理长期未经营企业工作。</w:t>
      </w:r>
    </w:p>
    <w:p>
      <w:pPr>
        <w:keepNext w:val="0"/>
        <w:keepLines w:val="0"/>
        <w:pageBreakBefore w:val="0"/>
        <w:wordWrap/>
        <w:overflowPunct/>
        <w:topLinePunct w:val="0"/>
        <w:bidi w:val="0"/>
        <w:adjustRightInd/>
        <w:snapToGrid w:val="0"/>
        <w:spacing w:line="560" w:lineRule="exact"/>
        <w:ind w:left="0" w:leftChars="0" w:right="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依据《企业信息公示暂行条例》第十八条：“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责令当事人改正上述违法行为，决定对</w:t>
      </w:r>
      <w:r>
        <w:rPr>
          <w:rFonts w:hint="eastAsia" w:ascii="仿宋" w:hAnsi="仿宋" w:eastAsia="仿宋" w:cs="仿宋"/>
          <w:sz w:val="32"/>
          <w:szCs w:val="32"/>
          <w:lang w:val="en-US" w:eastAsia="zh-CN"/>
        </w:rPr>
        <w:t>乌苏皖北药业有限责任公司等22家企业</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见附件吊销企业名单</w:t>
      </w:r>
      <w:r>
        <w:rPr>
          <w:rFonts w:hint="eastAsia" w:ascii="仿宋_GB2312" w:hAnsi="仿宋_GB2312" w:eastAsia="仿宋_GB2312" w:cs="仿宋_GB2312"/>
          <w:bCs/>
          <w:kern w:val="2"/>
          <w:sz w:val="32"/>
          <w:szCs w:val="32"/>
          <w:lang w:val="en-US" w:eastAsia="zh-CN" w:bidi="ar-SA"/>
        </w:rPr>
        <w:t>）作出如下处罚：吊销营业执照。</w:t>
      </w:r>
    </w:p>
    <w:p>
      <w:pPr>
        <w:keepNext w:val="0"/>
        <w:keepLines w:val="0"/>
        <w:pageBreakBefore w:val="0"/>
        <w:widowControl w:val="0"/>
        <w:overflowPunct/>
        <w:topLinePunct w:val="0"/>
        <w:bidi w:val="0"/>
        <w:adjustRightInd/>
        <w:spacing w:line="560" w:lineRule="exact"/>
        <w:ind w:firstLine="0" w:firstLineChars="0"/>
        <w:jc w:val="both"/>
        <w:textAlignment w:val="auto"/>
        <w:rPr>
          <w:rFonts w:hint="eastAsia" w:ascii="Times New Roman" w:hAnsi="Times New Roman" w:eastAsia="仿宋_GB2312" w:cs="仿宋"/>
          <w:bCs/>
          <w:color w:val="000000"/>
          <w:sz w:val="32"/>
          <w:szCs w:val="32"/>
          <w:u w:val="none"/>
        </w:rPr>
      </w:pPr>
      <w:r>
        <w:rPr>
          <w:rFonts w:hint="eastAsia" w:ascii="仿宋" w:hAnsi="仿宋" w:eastAsia="仿宋" w:cs="Arial"/>
          <w:kern w:val="0"/>
          <w:sz w:val="32"/>
          <w:szCs w:val="32"/>
          <w:u w:val="none"/>
          <w:lang w:val="en-US" w:eastAsia="zh-CN"/>
        </w:rPr>
        <w:t xml:space="preserve">    </w:t>
      </w:r>
      <w:r>
        <w:rPr>
          <w:rFonts w:hint="eastAsia" w:ascii="仿宋" w:hAnsi="仿宋" w:eastAsia="仿宋" w:cs="Arial"/>
          <w:kern w:val="0"/>
          <w:sz w:val="32"/>
          <w:szCs w:val="32"/>
          <w:u w:val="none"/>
        </w:rPr>
        <w:t>如不服本处罚决定，可在收到本处罚决定书之日起</w:t>
      </w:r>
      <w:bookmarkStart w:id="0" w:name="fyqx"/>
      <w:r>
        <w:rPr>
          <w:rFonts w:hint="eastAsia" w:ascii="仿宋" w:hAnsi="仿宋" w:eastAsia="仿宋" w:cs="Arial"/>
          <w:kern w:val="0"/>
          <w:sz w:val="32"/>
          <w:szCs w:val="32"/>
          <w:u w:val="none"/>
        </w:rPr>
        <w:t>六十日</w:t>
      </w:r>
      <w:bookmarkEnd w:id="0"/>
      <w:r>
        <w:rPr>
          <w:rFonts w:hint="eastAsia" w:ascii="仿宋" w:hAnsi="仿宋" w:eastAsia="仿宋" w:cs="Arial"/>
          <w:kern w:val="0"/>
          <w:sz w:val="32"/>
          <w:szCs w:val="32"/>
          <w:u w:val="none"/>
        </w:rPr>
        <w:t>内向</w:t>
      </w:r>
      <w:bookmarkStart w:id="1" w:name="fydw"/>
      <w:r>
        <w:rPr>
          <w:rFonts w:hint="eastAsia" w:ascii="仿宋" w:hAnsi="仿宋" w:eastAsia="仿宋" w:cs="Arial"/>
          <w:kern w:val="0"/>
          <w:sz w:val="32"/>
          <w:szCs w:val="32"/>
          <w:u w:val="none"/>
        </w:rPr>
        <w:t>乌苏市人民政府</w:t>
      </w:r>
      <w:bookmarkEnd w:id="1"/>
      <w:r>
        <w:rPr>
          <w:rFonts w:hint="eastAsia" w:ascii="仿宋" w:hAnsi="仿宋" w:eastAsia="仿宋" w:cs="Arial"/>
          <w:kern w:val="0"/>
          <w:sz w:val="32"/>
          <w:szCs w:val="32"/>
          <w:u w:val="none"/>
        </w:rPr>
        <w:t>申请复议；也可以在</w:t>
      </w:r>
      <w:bookmarkStart w:id="2" w:name="ssqx"/>
      <w:r>
        <w:rPr>
          <w:rFonts w:hint="eastAsia" w:ascii="仿宋" w:hAnsi="仿宋" w:eastAsia="仿宋" w:cs="Arial"/>
          <w:kern w:val="0"/>
          <w:sz w:val="32"/>
          <w:szCs w:val="32"/>
          <w:u w:val="none"/>
        </w:rPr>
        <w:t>六个月</w:t>
      </w:r>
      <w:bookmarkEnd w:id="2"/>
      <w:r>
        <w:rPr>
          <w:rFonts w:hint="eastAsia" w:ascii="仿宋" w:hAnsi="仿宋" w:eastAsia="仿宋" w:cs="Arial"/>
          <w:kern w:val="0"/>
          <w:sz w:val="32"/>
          <w:szCs w:val="32"/>
          <w:u w:val="none"/>
        </w:rPr>
        <w:t>内直接向</w:t>
      </w:r>
      <w:bookmarkStart w:id="3" w:name="ssdw"/>
      <w:r>
        <w:rPr>
          <w:rFonts w:hint="eastAsia" w:ascii="仿宋" w:hAnsi="仿宋" w:eastAsia="仿宋" w:cs="Arial"/>
          <w:kern w:val="0"/>
          <w:sz w:val="32"/>
          <w:szCs w:val="32"/>
          <w:u w:val="none"/>
        </w:rPr>
        <w:t>乌苏市人民法院</w:t>
      </w:r>
      <w:bookmarkEnd w:id="3"/>
      <w:r>
        <w:rPr>
          <w:rFonts w:hint="eastAsia" w:ascii="仿宋" w:hAnsi="仿宋" w:eastAsia="仿宋" w:cs="Arial"/>
          <w:kern w:val="0"/>
          <w:sz w:val="32"/>
          <w:szCs w:val="32"/>
          <w:u w:val="none"/>
        </w:rPr>
        <w:t>提起行政诉讼。</w:t>
      </w:r>
      <w:r>
        <w:rPr>
          <w:rFonts w:hint="eastAsia" w:ascii="仿宋" w:hAnsi="仿宋" w:eastAsia="仿宋" w:cs="Arial"/>
          <w:kern w:val="0"/>
          <w:sz w:val="32"/>
          <w:szCs w:val="32"/>
          <w:u w:val="none"/>
          <w:lang w:val="en-US" w:eastAsia="zh-CN"/>
        </w:rPr>
        <w:t xml:space="preserve">  </w:t>
      </w:r>
      <w:r>
        <w:rPr>
          <w:rFonts w:hint="eastAsia" w:ascii="Times New Roman" w:hAnsi="Times New Roman" w:eastAsia="仿宋_GB2312" w:cs="仿宋"/>
          <w:bCs/>
          <w:color w:val="000000"/>
          <w:sz w:val="32"/>
          <w:szCs w:val="32"/>
          <w:u w:val="none"/>
        </w:rPr>
        <w:t xml:space="preserve">                                                         </w:t>
      </w: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仿宋" w:hAnsi="仿宋" w:eastAsia="仿宋" w:cs="Arial"/>
          <w:kern w:val="0"/>
          <w:sz w:val="32"/>
          <w:szCs w:val="32"/>
          <w:u w:val="none"/>
          <w:lang w:val="en-US" w:eastAsia="zh-CN"/>
        </w:rPr>
      </w:pPr>
      <w:r>
        <w:rPr>
          <w:rFonts w:hint="eastAsia" w:ascii="仿宋" w:hAnsi="仿宋" w:eastAsia="仿宋" w:cs="Arial"/>
          <w:kern w:val="0"/>
          <w:sz w:val="32"/>
          <w:szCs w:val="32"/>
          <w:u w:val="none"/>
        </w:rPr>
        <w:t>当事人对行政处罚决定不服申请行政复议或者提起行政诉讼的，行政处罚不停止执行。</w:t>
      </w:r>
      <w:r>
        <w:rPr>
          <w:rFonts w:hint="eastAsia" w:ascii="仿宋" w:hAnsi="仿宋" w:eastAsia="仿宋" w:cs="Arial"/>
          <w:kern w:val="0"/>
          <w:sz w:val="32"/>
          <w:szCs w:val="32"/>
          <w:u w:val="none"/>
          <w:lang w:val="en-US" w:eastAsia="zh-CN"/>
        </w:rPr>
        <w:t xml:space="preserve">   </w:t>
      </w:r>
    </w:p>
    <w:p>
      <w:pPr>
        <w:keepNext w:val="0"/>
        <w:keepLines w:val="0"/>
        <w:pageBreakBefore w:val="0"/>
        <w:widowControl w:val="0"/>
        <w:overflowPunct/>
        <w:topLinePunct w:val="0"/>
        <w:bidi w:val="0"/>
        <w:adjustRightInd/>
        <w:spacing w:line="560" w:lineRule="exact"/>
        <w:ind w:left="0" w:firstLine="0" w:firstLineChars="0"/>
        <w:jc w:val="both"/>
        <w:textAlignment w:val="auto"/>
        <w:rPr>
          <w:rFonts w:hint="eastAsia" w:ascii="Times New Roman" w:hAnsi="Times New Roman" w:eastAsia="仿宋_GB2312" w:cs="仿宋"/>
          <w:bCs/>
          <w:color w:val="000000"/>
          <w:sz w:val="32"/>
          <w:szCs w:val="32"/>
          <w:u w:val="none"/>
        </w:rPr>
      </w:pPr>
      <w:r>
        <w:rPr>
          <w:rFonts w:hint="eastAsia" w:ascii="Times New Roman" w:hAnsi="Times New Roman" w:eastAsia="仿宋_GB2312" w:cs="仿宋"/>
          <w:bCs/>
          <w:color w:val="000000"/>
          <w:sz w:val="32"/>
          <w:szCs w:val="32"/>
          <w:u w:val="none"/>
        </w:rPr>
        <w:t xml:space="preserve">                                     </w:t>
      </w:r>
    </w:p>
    <w:p>
      <w:pPr>
        <w:keepNext w:val="0"/>
        <w:keepLines w:val="0"/>
        <w:pageBreakBefore w:val="0"/>
        <w:widowControl w:val="0"/>
        <w:overflowPunct/>
        <w:topLinePunct w:val="0"/>
        <w:bidi w:val="0"/>
        <w:adjustRightInd/>
        <w:spacing w:line="560" w:lineRule="exact"/>
        <w:ind w:left="0" w:firstLine="0" w:firstLineChars="0"/>
        <w:jc w:val="both"/>
        <w:textAlignment w:val="auto"/>
        <w:rPr>
          <w:rFonts w:hint="eastAsia" w:ascii="Times New Roman" w:hAnsi="Times New Roman" w:eastAsia="仿宋_GB2312" w:cs="仿宋"/>
          <w:bCs/>
          <w:color w:val="000000"/>
          <w:sz w:val="32"/>
          <w:szCs w:val="32"/>
          <w:u w:val="none"/>
          <w:lang w:val="en-US" w:eastAsia="zh-CN"/>
        </w:rPr>
      </w:pPr>
    </w:p>
    <w:p>
      <w:pPr>
        <w:keepNext w:val="0"/>
        <w:keepLines w:val="0"/>
        <w:pageBreakBefore w:val="0"/>
        <w:widowControl w:val="0"/>
        <w:wordWrap w:val="0"/>
        <w:overflowPunct/>
        <w:topLinePunct w:val="0"/>
        <w:bidi w:val="0"/>
        <w:adjustRightInd/>
        <w:snapToGrid w:val="0"/>
        <w:spacing w:line="560" w:lineRule="exact"/>
        <w:ind w:left="0" w:firstLine="0" w:firstLineChars="0"/>
        <w:jc w:val="center"/>
        <w:textAlignment w:val="auto"/>
        <w:rPr>
          <w:rFonts w:hint="eastAsia" w:ascii="Times New Roman" w:hAnsi="Times New Roman" w:eastAsia="仿宋_GB2312" w:cs="仿宋"/>
          <w:color w:val="000000"/>
          <w:sz w:val="32"/>
          <w:szCs w:val="32"/>
          <w:u w:val="none"/>
          <w:lang w:val="en-US" w:eastAsia="zh-CN"/>
        </w:rPr>
      </w:pP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仿宋" w:hAnsi="仿宋" w:eastAsia="仿宋" w:cs="Arial"/>
          <w:kern w:val="0"/>
          <w:sz w:val="32"/>
          <w:szCs w:val="32"/>
          <w:u w:val="none"/>
        </w:rPr>
      </w:pPr>
      <w:r>
        <w:rPr>
          <w:rFonts w:hint="eastAsia" w:ascii="Times New Roman" w:hAnsi="Times New Roman" w:eastAsia="仿宋_GB2312" w:cs="仿宋"/>
          <w:color w:val="000000"/>
          <w:sz w:val="32"/>
          <w:szCs w:val="32"/>
          <w:u w:val="none"/>
          <w:lang w:val="en-US" w:eastAsia="zh-CN"/>
        </w:rPr>
        <w:t xml:space="preserve">                              </w:t>
      </w:r>
      <w:r>
        <w:rPr>
          <w:rFonts w:hint="eastAsia" w:ascii="仿宋" w:hAnsi="仿宋" w:eastAsia="仿宋" w:cs="Arial"/>
          <w:kern w:val="0"/>
          <w:sz w:val="32"/>
          <w:szCs w:val="32"/>
          <w:u w:val="none"/>
        </w:rPr>
        <w:t>乌苏市市场监督管理局</w:t>
      </w:r>
    </w:p>
    <w:p>
      <w:pPr>
        <w:keepNext w:val="0"/>
        <w:keepLines w:val="0"/>
        <w:pageBreakBefore w:val="0"/>
        <w:widowControl w:val="0"/>
        <w:overflowPunct/>
        <w:topLinePunct w:val="0"/>
        <w:bidi w:val="0"/>
        <w:adjustRightInd/>
        <w:spacing w:line="560" w:lineRule="exact"/>
        <w:ind w:left="0" w:firstLine="640" w:firstLineChars="200"/>
        <w:jc w:val="both"/>
        <w:textAlignment w:val="auto"/>
        <w:rPr>
          <w:rFonts w:hint="eastAsia" w:ascii="仿宋" w:hAnsi="仿宋" w:eastAsia="仿宋" w:cs="Arial"/>
          <w:kern w:val="0"/>
          <w:sz w:val="32"/>
          <w:szCs w:val="32"/>
          <w:u w:val="none"/>
        </w:rPr>
      </w:pPr>
      <w:r>
        <w:rPr>
          <w:rFonts w:hint="eastAsia" w:ascii="仿宋" w:hAnsi="仿宋" w:eastAsia="仿宋" w:cs="Arial"/>
          <w:kern w:val="0"/>
          <w:sz w:val="32"/>
          <w:szCs w:val="32"/>
          <w:u w:val="none"/>
          <w:lang w:val="en-US" w:eastAsia="zh-CN"/>
        </w:rPr>
        <w:t xml:space="preserve">                     </w:t>
      </w:r>
      <w:r>
        <w:rPr>
          <w:rFonts w:hint="eastAsia" w:ascii="仿宋" w:hAnsi="仿宋" w:eastAsia="仿宋" w:cs="Arial"/>
          <w:kern w:val="0"/>
          <w:sz w:val="32"/>
          <w:szCs w:val="32"/>
          <w:u w:val="none"/>
        </w:rPr>
        <w:t xml:space="preserve">       </w:t>
      </w:r>
      <w:r>
        <w:rPr>
          <w:rFonts w:hint="eastAsia" w:ascii="仿宋" w:hAnsi="仿宋" w:eastAsia="仿宋" w:cs="Arial"/>
          <w:kern w:val="0"/>
          <w:sz w:val="32"/>
          <w:szCs w:val="32"/>
          <w:u w:val="none"/>
          <w:lang w:val="en-US" w:eastAsia="zh-CN"/>
        </w:rPr>
        <w:t xml:space="preserve">     2025年3月18日</w:t>
      </w:r>
    </w:p>
    <w:p>
      <w:pPr>
        <w:keepNext w:val="0"/>
        <w:keepLines w:val="0"/>
        <w:pageBreakBefore w:val="0"/>
        <w:widowControl w:val="0"/>
        <w:wordWrap w:val="0"/>
        <w:overflowPunct/>
        <w:topLinePunct w:val="0"/>
        <w:bidi w:val="0"/>
        <w:adjustRightInd/>
        <w:snapToGrid w:val="0"/>
        <w:spacing w:line="560" w:lineRule="exact"/>
        <w:ind w:firstLine="0" w:firstLineChars="0"/>
        <w:textAlignment w:val="auto"/>
        <w:rPr>
          <w:rFonts w:hint="eastAsia" w:ascii="Times New Roman" w:hAnsi="Times New Roman" w:eastAsia="仿宋_GB2312" w:cs="仿宋"/>
          <w:color w:val="00000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widowControl w:val="0"/>
        <w:wordWrap w:val="0"/>
        <w:overflowPunct/>
        <w:topLinePunct w:val="0"/>
        <w:bidi w:val="0"/>
        <w:adjustRightInd/>
        <w:snapToGrid w:val="0"/>
        <w:spacing w:line="560" w:lineRule="exact"/>
        <w:ind w:firstLine="0" w:firstLineChars="0"/>
        <w:textAlignment w:val="auto"/>
        <w:rPr>
          <w:rFonts w:hint="eastAsia" w:ascii="Times New Roman" w:hAnsi="Times New Roman" w:eastAsia="仿宋_GB2312" w:cs="仿宋"/>
          <w:bCs/>
          <w:color w:val="000000"/>
          <w:sz w:val="32"/>
          <w:szCs w:val="32"/>
          <w:u w:val="none"/>
        </w:rPr>
      </w:pPr>
      <w:r>
        <w:rPr>
          <w:rFonts w:hint="eastAsia" w:ascii="Times New Roman" w:hAnsi="Times New Roman" w:eastAsia="仿宋_GB2312" w:cs="黑体"/>
          <w:kern w:val="2"/>
          <w:sz w:val="32"/>
          <w:szCs w:val="24"/>
          <w:u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343535</wp:posOffset>
                </wp:positionV>
                <wp:extent cx="5550535" cy="635"/>
                <wp:effectExtent l="0" t="0" r="0" b="0"/>
                <wp:wrapNone/>
                <wp:docPr id="3"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7.55pt;margin-top:27.05pt;height:0.05pt;width:437.05pt;z-index:251662336;mso-width-relative:page;mso-height-relative:page;" filled="f" stroked="t" coordsize="21600,21600" o:gfxdata="UEsDBAoAAAAAAIdO4kAAAAAAAAAAAAAAAAAEAAAAZHJzL1BLAwQUAAAACACHTuJAIDyQxNcAAAAI&#10;AQAADwAAAGRycy9kb3ducmV2LnhtbE2Py2rDMBBF94X8g5hCd41sk4frWg4hUOimCXl8gGJNbFNr&#10;ZCzl4Xx9J6tmNdy5lztn8sXNtuKCvW8cKYjHEQik0pmGKgWH/dd7CsIHTUa3jlDBgB4Wxegl15lx&#10;V9riZRcqwSXkM62gDqHLpPRljVb7seuQ2Du53urAsq+k6fWVy20rkyiaSasb4gu17nBVY/m7O1sF&#10;25Vbz5fdZPO9Dj+n+f0+YFkNSr29xtEniIC38B+GBz6jQ8FMR3cm40XLehpzUsF0wpP9NP1IQBwf&#10;iwRkkcvnB4o/UEsDBBQAAAAIAIdO4kDxHuVo9QEAAOcDAAAOAAAAZHJzL2Uyb0RvYy54bWytU0uO&#10;EzEQ3SNxB8t70klGPYxa6cxiwrBBEAk4QMXt7rbkn1xOOrkEF0BiByuW7LkNwzEou0PmwyYLeuEu&#10;u56f6z2XF9d7o9lOBlTO1nw2mXImrXCNsl3NP364fXHFGUawDWhnZc0PEvn18vmzxeArOXe9040M&#10;jEgsVoOveR+jr4oCRS8N4MR5aSnZumAg0jR0RRNgIHaji/l0elkMLjQ+OCERaXU1JvmRMZxD6NpW&#10;CblyYmukjSNrkBoiScJeeeTLXG3bShHftS3KyHTNSWnMIx1C8SaNxXIBVRfA90ocS4BzSniiyYCy&#10;dOiJagUR2Daof6iMEsGha+NEOFOMQrIjpGI2feLN+x68zFrIavQn0/H/0Yq3u3Vgqqn5BWcWDF34&#10;3ecfvz59/f3zC41337+xeTJp8FgR9sauw3GGfh2S4n0bTPqTFrbPxh5Oxsp9ZIIWy7KclhclZ4Jy&#10;lxQQR3G/1QeMr6UzLAU118om1VDB7g3GEfoXkpa1ZQN1bnn1MjEC9WBLd0+h8aQDbZc3o9OquVVa&#10;py0Yus2NDmwHqQ/yd6zhESydsgLsR1xOJRhUvYTmlW1YPHhyyNLD4KkGIxvOtKR3lKKMjKD0OUiS&#10;ry25kIwdrUzRxjUHuo+tD6rryYpZrjJl6P6zZ8deTQ32cJ6Z7t/n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PJDE1wAAAAgBAAAPAAAAAAAAAAEAIAAAACIAAABkcnMvZG93bnJldi54bWxQSwEC&#10;FAAUAAAACACHTuJA8R7laPUBAADnAwAADgAAAAAAAAABACAAAAAmAQAAZHJzL2Uyb0RvYy54bWxQ&#10;SwUGAAAAAAYABgBZAQAAjQUAAAAA&#10;">
                <v:fill on="f" focussize="0,0"/>
                <v:stroke weight="1.25pt" color="#000000" joinstyle="round"/>
                <v:imagedata o:title=""/>
                <o:lock v:ext="edit" aspectratio="f"/>
              </v:line>
            </w:pict>
          </mc:Fallback>
        </mc:AlternateContent>
      </w:r>
    </w:p>
    <w:p>
      <w:pPr>
        <w:keepNext w:val="0"/>
        <w:keepLines w:val="0"/>
        <w:pageBreakBefore w:val="0"/>
        <w:widowControl w:val="0"/>
        <w:wordWrap w:val="0"/>
        <w:overflowPunct/>
        <w:topLinePunct w:val="0"/>
        <w:bidi w:val="0"/>
        <w:adjustRightInd/>
        <w:spacing w:line="560" w:lineRule="exact"/>
        <w:ind w:firstLine="0" w:firstLineChars="0"/>
        <w:textAlignment w:val="auto"/>
        <w:rPr>
          <w:rFonts w:hint="eastAsia" w:ascii="仿宋_GB2312" w:hAnsi="仿宋_GB2312" w:eastAsia="仿宋_GB2312" w:cs="仿宋_GB2312"/>
          <w:sz w:val="32"/>
          <w:szCs w:val="32"/>
        </w:rPr>
      </w:pPr>
      <w:r>
        <w:rPr>
          <w:rFonts w:hint="eastAsia" w:ascii="Times New Roman" w:hAnsi="Times New Roman" w:eastAsia="仿宋_GB2312" w:cs="仿宋"/>
          <w:bCs/>
          <w:color w:val="000000"/>
          <w:kern w:val="2"/>
          <w:sz w:val="32"/>
          <w:szCs w:val="32"/>
          <w:u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3oq3q+QEAAOUDAAAOAAAAZHJzL2Uyb0RvYy54bWytU82O&#10;0zAQviPxDpbvNG1W24Wo6R62LBcElYAHmDpOYsl/eNymfQleAIkbnDhy521YHoOxU7qwXHogB2fs&#10;GX8z3zfjxfXeaLaTAZWzNZ9NppxJK1yjbFfzd29vnzzlDCPYBrSzsuYHifx6+fjRYvCVLF3vdCMD&#10;IxCL1eBr3sfoq6JA0UsDOHFeWnK2LhiItA1d0QQYCN3oopxO58XgQuODExKRTlejkx8RwzmArm2V&#10;kCsntkbaOKIGqSESJeyVR77M1batFPF126KMTNecmMa8UhKyN2ktlguougC+V+JYApxTwgNOBpSl&#10;pCeoFURg26D+gTJKBIeujRPhTDESyYoQi9n0gTZvevAycyGp0Z9Ex/8HK17t1oGppuYlZxYMNfzu&#10;47cfHz7//P6J1ruvX9hFEmnwWFHsjV2H4w79OiTG+zaY9CcubJ+FPZyElfvIBB1eXs3LeXnJmSDf&#10;rLzKuhf3d33A+EI6w5JRc61sog0V7F5ipHwU+jskHWvLhpo/u5hTFwXQDOJ7MownFmi7fBOdVs2t&#10;0jrFY+g2NzqwHaQpyF/iRKh/haUUK8B+jMuucT56Cc1z27B48KSPpWfBUwFGNpxpSa8oWQQIVQSl&#10;z4mk1NpSBUnWUchkbVxzoG5sfVBdTzrMcpXJQ93P9R4nNY3Xn/uMdP86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Peirer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份归档。</w:t>
      </w:r>
    </w:p>
    <w:sectPr>
      <w:footerReference r:id="rId3" w:type="default"/>
      <w:pgSz w:w="11906" w:h="16838"/>
      <w:pgMar w:top="2098" w:right="1531" w:bottom="1984" w:left="153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vToYHSAQAAow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Ngw9q3+V1Sq2Af3+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W9OhgdIBAACjAwAADgAAAAAAAAABACAAAAAi&#10;AQAAZHJzL2Uyb0RvYy54bWxQSwUGAAAAAAYABgBZAQAAZgU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FC11D93"/>
    <w:rsid w:val="01072174"/>
    <w:rsid w:val="02002942"/>
    <w:rsid w:val="02033F2A"/>
    <w:rsid w:val="023D2AA7"/>
    <w:rsid w:val="028347CD"/>
    <w:rsid w:val="05AE15C6"/>
    <w:rsid w:val="08D05C04"/>
    <w:rsid w:val="092E4C52"/>
    <w:rsid w:val="0E557769"/>
    <w:rsid w:val="0EE241C2"/>
    <w:rsid w:val="0EFF297D"/>
    <w:rsid w:val="0F180250"/>
    <w:rsid w:val="104D044E"/>
    <w:rsid w:val="11E903EC"/>
    <w:rsid w:val="147E7E81"/>
    <w:rsid w:val="14DA0844"/>
    <w:rsid w:val="163832ED"/>
    <w:rsid w:val="18C84E70"/>
    <w:rsid w:val="193517DA"/>
    <w:rsid w:val="1ABF1DE3"/>
    <w:rsid w:val="1C9F3B86"/>
    <w:rsid w:val="1CF61DE7"/>
    <w:rsid w:val="1E210512"/>
    <w:rsid w:val="1E260E02"/>
    <w:rsid w:val="1E9C7E43"/>
    <w:rsid w:val="1E9D5885"/>
    <w:rsid w:val="1FE01FA9"/>
    <w:rsid w:val="20926AF5"/>
    <w:rsid w:val="215B525B"/>
    <w:rsid w:val="227C0D11"/>
    <w:rsid w:val="228262CC"/>
    <w:rsid w:val="23C3381B"/>
    <w:rsid w:val="246600F1"/>
    <w:rsid w:val="254F3A03"/>
    <w:rsid w:val="264A00C2"/>
    <w:rsid w:val="26A2321B"/>
    <w:rsid w:val="26ED496F"/>
    <w:rsid w:val="28FF44CE"/>
    <w:rsid w:val="295E09B3"/>
    <w:rsid w:val="29B70F73"/>
    <w:rsid w:val="2A7C7BF7"/>
    <w:rsid w:val="2CBF7478"/>
    <w:rsid w:val="2E9F6689"/>
    <w:rsid w:val="2EAA7334"/>
    <w:rsid w:val="2EFE507F"/>
    <w:rsid w:val="2F4910A0"/>
    <w:rsid w:val="2F852558"/>
    <w:rsid w:val="2F861FDE"/>
    <w:rsid w:val="30CE64C2"/>
    <w:rsid w:val="30FF18B7"/>
    <w:rsid w:val="31B47ADD"/>
    <w:rsid w:val="36436562"/>
    <w:rsid w:val="368A53E1"/>
    <w:rsid w:val="37687C74"/>
    <w:rsid w:val="37CC51ED"/>
    <w:rsid w:val="38EC419A"/>
    <w:rsid w:val="3997040B"/>
    <w:rsid w:val="3A8277E0"/>
    <w:rsid w:val="3AEF85F0"/>
    <w:rsid w:val="3B6A7D3B"/>
    <w:rsid w:val="3B7B101F"/>
    <w:rsid w:val="3BC7199C"/>
    <w:rsid w:val="3CA60B04"/>
    <w:rsid w:val="3E943386"/>
    <w:rsid w:val="3EFF485D"/>
    <w:rsid w:val="3FF878C8"/>
    <w:rsid w:val="42053DB0"/>
    <w:rsid w:val="44C7277D"/>
    <w:rsid w:val="47D26C6B"/>
    <w:rsid w:val="49686CE7"/>
    <w:rsid w:val="4AF6642E"/>
    <w:rsid w:val="4B43629F"/>
    <w:rsid w:val="4B565E9E"/>
    <w:rsid w:val="4CD90663"/>
    <w:rsid w:val="4CE27674"/>
    <w:rsid w:val="4E28788C"/>
    <w:rsid w:val="4EC746A4"/>
    <w:rsid w:val="4EE00400"/>
    <w:rsid w:val="506875FB"/>
    <w:rsid w:val="5199796C"/>
    <w:rsid w:val="528D4BA0"/>
    <w:rsid w:val="52CF33AF"/>
    <w:rsid w:val="53A106F9"/>
    <w:rsid w:val="56115674"/>
    <w:rsid w:val="57982DB2"/>
    <w:rsid w:val="593A2CCF"/>
    <w:rsid w:val="5952639C"/>
    <w:rsid w:val="5E1F03C2"/>
    <w:rsid w:val="5E6522BE"/>
    <w:rsid w:val="5FC11D93"/>
    <w:rsid w:val="5FD807F5"/>
    <w:rsid w:val="6041296B"/>
    <w:rsid w:val="62C25396"/>
    <w:rsid w:val="63E8362C"/>
    <w:rsid w:val="66BD7C37"/>
    <w:rsid w:val="69D269DE"/>
    <w:rsid w:val="6BAB3BA5"/>
    <w:rsid w:val="6CC54AA3"/>
    <w:rsid w:val="6EB36571"/>
    <w:rsid w:val="715D6B06"/>
    <w:rsid w:val="71891AD7"/>
    <w:rsid w:val="726A7902"/>
    <w:rsid w:val="73DF7D55"/>
    <w:rsid w:val="74341E50"/>
    <w:rsid w:val="750758DC"/>
    <w:rsid w:val="75E32CA7"/>
    <w:rsid w:val="76F7E480"/>
    <w:rsid w:val="77450663"/>
    <w:rsid w:val="77BF3706"/>
    <w:rsid w:val="780D31B8"/>
    <w:rsid w:val="7AA91BBC"/>
    <w:rsid w:val="7C3BBE37"/>
    <w:rsid w:val="7C4747FC"/>
    <w:rsid w:val="7D00333D"/>
    <w:rsid w:val="7D5A027C"/>
    <w:rsid w:val="7DF924A2"/>
    <w:rsid w:val="7FA55C52"/>
    <w:rsid w:val="9F94926F"/>
    <w:rsid w:val="DB7B6AC5"/>
    <w:rsid w:val="EFF76670"/>
    <w:rsid w:val="F2734D33"/>
    <w:rsid w:val="FA5D3C90"/>
    <w:rsid w:val="FF9DCD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pacing w:line="240" w:lineRule="atLeast"/>
      <w:jc w:val="left"/>
    </w:pPr>
    <w:rPr>
      <w:sz w:val="18"/>
    </w:rPr>
  </w:style>
  <w:style w:type="paragraph" w:styleId="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1245</Words>
  <Characters>1311</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2023-02-01T09:21:00Z</dcterms:created>
  <dc:creator>Administrator</dc:creator>
  <cp:lastModifiedBy>喜文</cp:lastModifiedBy>
  <cp:lastPrinted>2025-03-21T20:53:00Z</cp:lastPrinted>
  <dcterms:modified xsi:type="dcterms:W3CDTF">2025-03-25T10:09:32Z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1DB5E59A917F45CF928997FDEC680411</vt:lpwstr>
  </property>
</Properties>
</file>