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eastAsia="方正小标宋简体" w:hAnsi="方正小标宋简体" w:cs="方正小标宋简体" w:hint="eastAsia"/>
          <w:b w:val="0"/>
          <w:bCs w:val="0"/>
          <w:color w:val="auto"/>
          <w:sz w:val="44"/>
          <w:szCs w:val="44"/>
          <w:lang w:val="en-US" w:eastAsia="zh-CN"/>
        </w:rPr>
      </w:pPr>
      <w:r>
        <w:rPr>
          <w:rFonts w:ascii="方正小标宋简体" w:eastAsia="方正小标宋简体" w:hAnsi="方正小标宋简体" w:cs="方正小标宋简体" w:hint="eastAsia"/>
          <w:b w:val="0"/>
          <w:bCs w:val="0"/>
          <w:color w:val="auto"/>
          <w:sz w:val="44"/>
          <w:szCs w:val="44"/>
          <w:lang w:val="en-US" w:eastAsia="zh-CN"/>
        </w:rPr>
        <w:t>皇宫镇2024年度</w:t>
      </w:r>
      <w:r>
        <w:rPr>
          <w:rFonts w:ascii="方正小标宋简体" w:eastAsia="方正小标宋简体" w:hAnsi="方正小标宋简体" w:cs="方正小标宋简体" w:hint="eastAsia"/>
          <w:b w:val="0"/>
          <w:bCs w:val="0"/>
          <w:color w:val="auto"/>
          <w:sz w:val="44"/>
          <w:szCs w:val="44"/>
        </w:rPr>
        <w:t>法治</w:t>
      </w:r>
      <w:r>
        <w:rPr>
          <w:rFonts w:ascii="方正小标宋简体" w:eastAsia="方正小标宋简体" w:hAnsi="方正小标宋简体" w:cs="方正小标宋简体" w:hint="eastAsia"/>
          <w:b w:val="0"/>
          <w:bCs w:val="0"/>
          <w:color w:val="auto"/>
          <w:sz w:val="44"/>
          <w:szCs w:val="44"/>
          <w:lang w:eastAsia="zh-CN"/>
        </w:rPr>
        <w:t>政府</w:t>
      </w:r>
      <w:r>
        <w:rPr>
          <w:rFonts w:ascii="方正小标宋简体" w:eastAsia="方正小标宋简体" w:hAnsi="方正小标宋简体" w:cs="方正小标宋简体" w:hint="eastAsia"/>
          <w:b w:val="0"/>
          <w:bCs w:val="0"/>
          <w:color w:val="auto"/>
          <w:sz w:val="44"/>
          <w:szCs w:val="44"/>
        </w:rPr>
        <w:t>建设</w:t>
      </w:r>
      <w:r>
        <w:rPr>
          <w:rFonts w:ascii="方正小标宋简体" w:eastAsia="方正小标宋简体" w:hAnsi="方正小标宋简体" w:cs="方正小标宋简体" w:hint="eastAsia"/>
          <w:b w:val="0"/>
          <w:bCs w:val="0"/>
          <w:color w:val="auto"/>
          <w:sz w:val="44"/>
          <w:szCs w:val="44"/>
          <w:lang w:val="en-US" w:eastAsia="zh-CN"/>
        </w:rPr>
        <w:t>工作总结</w:t>
      </w:r>
    </w:p>
    <w:p>
      <w:pPr>
        <w:pStyle w:val="BodyTextFirstIndent"/>
        <w:keepNext w:val="0"/>
        <w:keepLines w:val="0"/>
        <w:pageBreakBefore w:val="0"/>
        <w:widowControl w:val="0"/>
        <w:kinsoku/>
        <w:wordWrap/>
        <w:overflowPunct/>
        <w:topLinePunct w:val="0"/>
        <w:autoSpaceDE/>
        <w:autoSpaceDN/>
        <w:bidi w:val="0"/>
        <w:snapToGrid/>
        <w:spacing w:after="0" w:line="560" w:lineRule="exact"/>
        <w:ind w:left="0"/>
        <w:jc w:val="left"/>
        <w:outlineLvl w:val="9"/>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2024年以来，皇宫镇在市委、市政府的统一领导下，坚持以习近平法治思想为指导，在依法履行政府职能、完善制度建设、推进行政决策、强化行政权力制约监督、化解社会矛盾、提高法治思维和行政能力、组织保障等方面认真抓好法治建设，为促进全镇经济社会持续健康发展创造良好的法治环境和提供有力的法治保障。现将有关情况报告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一、</w:t>
      </w:r>
      <w:r>
        <w:rPr>
          <w:rFonts w:ascii="黑体" w:eastAsia="黑体" w:hAnsi="黑体" w:cs="黑体" w:hint="default"/>
          <w:sz w:val="32"/>
          <w:szCs w:val="32"/>
          <w:lang w:val="en-US" w:eastAsia="zh-CN"/>
        </w:rPr>
        <w:t>202</w:t>
      </w:r>
      <w:r>
        <w:rPr>
          <w:rFonts w:ascii="黑体" w:eastAsia="黑体" w:hAnsi="黑体" w:cs="黑体" w:hint="eastAsia"/>
          <w:sz w:val="32"/>
          <w:szCs w:val="32"/>
          <w:lang w:val="en-US" w:eastAsia="zh-CN"/>
        </w:rPr>
        <w:t>4年法治政府建设情况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rightChars="0" w:firstLineChars="200"/>
        <w:jc w:val="both"/>
        <w:textAlignment w:val="auto"/>
        <w:outlineLvl w:val="9"/>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（一）学习贯彻习近平法治思想、《中华人民共和国宪法》等</w:t>
      </w:r>
      <w:bookmarkStart w:id="0" w:name="_GoBack"/>
      <w:bookmarkEnd w:id="0"/>
      <w:r>
        <w:rPr>
          <w:rFonts w:ascii="楷体_GB2312" w:eastAsia="楷体_GB2312" w:hAnsi="楷体_GB2312" w:cs="楷体_GB2312" w:hint="eastAsia"/>
          <w:b/>
          <w:bCs/>
          <w:sz w:val="32"/>
          <w:szCs w:val="32"/>
          <w:lang w:val="en-US" w:eastAsia="zh-CN"/>
        </w:rPr>
        <w:t>法律法规情况。</w:t>
      </w:r>
      <w:r>
        <w:rPr>
          <w:rFonts w:ascii="仿宋_GB2312" w:eastAsia="仿宋_GB2312" w:hAnsi="仿宋_GB2312" w:cs="仿宋_GB2312" w:hint="eastAsia"/>
          <w:kern w:val="2"/>
          <w:sz w:val="32"/>
          <w:szCs w:val="32"/>
          <w:lang w:val="en-US" w:eastAsia="zh-CN" w:bidi="ar-SA"/>
        </w:rPr>
        <w:t>为使法治意识、法治思维深入人心，形成内化于心、外化于行的良好状态，2024年全镇领导干部积极利用主要领导讲法治课等形式，制定了领导干部学法、讲法、用法计划。为全面落实突出宣传习近平法治思想、宪法和民法典，持续开展“宪法法律宣传月”“美好生活·民法典相伴”等主题活动。镇纪委组织开展廉政警示教育活动，落实党内法规执行责任制，进一步树立凡事按规矩办，遇事先查法规的意识，确保各项工作依法依规开展。2024年</w:t>
      </w:r>
      <w:r>
        <w:rPr>
          <w:rFonts w:ascii="Times New Roman" w:eastAsia="仿宋_GB2312" w:hAnsi="Times New Roman" w:cs="Times New Roman" w:hint="eastAsia"/>
          <w:color w:val="000000"/>
          <w:kern w:val="2"/>
          <w:sz w:val="32"/>
          <w:szCs w:val="32"/>
          <w:highlight w:val="none"/>
          <w:lang w:val="en-US" w:eastAsia="zh-CN" w:bidi="ar-SA"/>
        </w:rPr>
        <w:t>以</w:t>
      </w:r>
      <w:r>
        <w:rPr>
          <w:rFonts w:ascii="Times New Roman" w:eastAsia="仿宋_GB2312" w:hAnsi="Times New Roman" w:cs="Times New Roman" w:hint="eastAsia"/>
          <w:color w:val="000000"/>
          <w:kern w:val="2"/>
          <w:sz w:val="32"/>
          <w:szCs w:val="32"/>
          <w:highlight w:val="none"/>
          <w:lang w:val="en-US" w:eastAsia="zh-CN" w:bidi="ar-SA"/>
        </w:rPr>
        <w:t>习近平法治思想</w:t>
      </w:r>
      <w:r>
        <w:rPr>
          <w:rFonts w:ascii="Times New Roman" w:eastAsia="仿宋_GB2312" w:hAnsi="Times New Roman" w:cs="Times New Roman" w:hint="eastAsia"/>
          <w:color w:val="000000"/>
          <w:kern w:val="2"/>
          <w:sz w:val="32"/>
          <w:szCs w:val="32"/>
          <w:highlight w:val="none"/>
          <w:lang w:val="en-US" w:eastAsia="zh-CN" w:bidi="ar-SA"/>
        </w:rPr>
        <w:t>为主题的党政负责人讲法治课、法治讲座、主题培训共4场次，</w:t>
      </w:r>
      <w:r>
        <w:rPr>
          <w:rFonts w:ascii="仿宋_GB2312" w:eastAsia="仿宋_GB2312" w:hAnsi="仿宋_GB2312" w:cs="仿宋_GB2312" w:hint="eastAsia"/>
          <w:kern w:val="2"/>
          <w:sz w:val="32"/>
          <w:szCs w:val="32"/>
          <w:lang w:val="en-US" w:eastAsia="zh-CN" w:bidi="ar-SA"/>
        </w:rPr>
        <w:t>“12·4”国家宪法日、“宪法宣传周”和宪法法律宣传月期间在村委会、集市、学校等公共场所开展宪法宣传活动共28场次，让</w:t>
      </w:r>
      <w:r>
        <w:rPr>
          <w:rFonts w:ascii="Times New Roman" w:eastAsia="仿宋_GB2312" w:hAnsi="Times New Roman" w:cs="Times New Roman" w:hint="eastAsia"/>
          <w:color w:val="000000"/>
          <w:kern w:val="2"/>
          <w:sz w:val="32"/>
          <w:szCs w:val="32"/>
          <w:highlight w:val="none"/>
          <w:lang w:val="en-US" w:eastAsia="zh-CN" w:bidi="ar-SA"/>
        </w:rPr>
        <w:t>习近平法治思想</w:t>
      </w:r>
      <w:r>
        <w:rPr>
          <w:rFonts w:ascii="仿宋_GB2312" w:eastAsia="仿宋_GB2312" w:hAnsi="仿宋_GB2312" w:cs="仿宋_GB2312" w:hint="eastAsia"/>
          <w:kern w:val="2"/>
          <w:sz w:val="32"/>
          <w:szCs w:val="32"/>
          <w:lang w:val="en-US" w:eastAsia="zh-CN" w:bidi="ar-SA"/>
        </w:rPr>
        <w:t>走进群众生活，宪法精神逐渐深入人心，公民法治素养得到提升。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rightChars="0" w:firstLineChars="200"/>
        <w:jc w:val="both"/>
        <w:textAlignment w:val="auto"/>
        <w:outlineLvl w:val="9"/>
        <w:rPr>
          <w:rFonts w:ascii="仿宋_GB2312" w:eastAsia="仿宋_GB2312" w:hAnsi="仿宋_GB2312" w:cs="仿宋_GB2312" w:hint="eastAsia"/>
          <w:kern w:val="2"/>
          <w:sz w:val="32"/>
          <w:szCs w:val="32"/>
          <w:lang w:val="en-US" w:eastAsia="zh-CN" w:bidi="ar-SA"/>
        </w:rPr>
      </w:pPr>
      <w:r>
        <w:rPr>
          <w:rFonts w:ascii="楷体_GB2312" w:eastAsia="楷体_GB2312" w:hAnsi="楷体_GB2312" w:cs="楷体_GB2312" w:hint="eastAsia"/>
          <w:b/>
          <w:bCs/>
          <w:sz w:val="32"/>
          <w:szCs w:val="32"/>
          <w:lang w:val="en-US" w:eastAsia="zh-CN"/>
        </w:rPr>
        <w:t>（二）加强党对法治建设的领导，充分发挥党政主要负责人履行推进法治建设第一责任人职责情况。</w:t>
      </w:r>
      <w:r>
        <w:rPr>
          <w:rFonts w:ascii="仿宋_GB2312" w:eastAsia="仿宋_GB2312" w:hAnsi="仿宋_GB2312" w:cs="仿宋_GB2312" w:hint="eastAsia"/>
          <w:b/>
          <w:bCs/>
          <w:kern w:val="2"/>
          <w:sz w:val="32"/>
          <w:szCs w:val="32"/>
          <w:lang w:val="en-US" w:eastAsia="zh-CN" w:bidi="ar-SA"/>
        </w:rPr>
        <w:t>一是</w:t>
      </w:r>
      <w:r>
        <w:rPr>
          <w:rFonts w:ascii="仿宋_GB2312" w:eastAsia="仿宋_GB2312" w:hAnsi="仿宋_GB2312" w:cs="仿宋_GB2312" w:hint="eastAsia"/>
          <w:kern w:val="2"/>
          <w:sz w:val="32"/>
          <w:szCs w:val="32"/>
          <w:lang w:val="en-US" w:eastAsia="zh-CN" w:bidi="ar-SA"/>
        </w:rPr>
        <w:t>为全面推进法治建设工作，我镇成立由镇党委书记宋杰任组长，镇长罗正武任副组长，五办五中心负责人、村党支部书记为成员的法治建设工作领导小组，并设立了办公室，形成在镇党委、政府有力领导下，镇直单位、各村整体联动，广大群众积极参与的工作格局，为我镇加快法治建设工作提供了坚强组织保障。</w:t>
      </w:r>
      <w:r>
        <w:rPr>
          <w:rFonts w:ascii="仿宋_GB2312" w:eastAsia="仿宋_GB2312" w:hAnsi="仿宋_GB2312" w:cs="仿宋_GB2312" w:hint="eastAsia"/>
          <w:b/>
          <w:bCs/>
          <w:kern w:val="2"/>
          <w:sz w:val="32"/>
          <w:szCs w:val="32"/>
          <w:lang w:val="en-US" w:eastAsia="zh-CN" w:bidi="ar-SA"/>
        </w:rPr>
        <w:t>二是</w:t>
      </w:r>
      <w:r>
        <w:rPr>
          <w:rFonts w:ascii="仿宋_GB2312" w:eastAsia="仿宋_GB2312" w:hAnsi="仿宋_GB2312" w:cs="仿宋_GB2312" w:hint="eastAsia"/>
          <w:kern w:val="2"/>
          <w:sz w:val="32"/>
          <w:szCs w:val="32"/>
          <w:lang w:val="en-US" w:eastAsia="zh-CN" w:bidi="ar-SA"/>
        </w:rPr>
        <w:t>党委书记作为抓法治建设的第一责任人，组织开展专题研究法治建设工作3次，明确法治建设职责和各领域法治建设的目标和要求，听取法治建设工作汇报2场次，开展全镇党员干部法律法规培训10余次，深入推进多层次多领域依法治理工作，提高了全镇党员干部依法决策、依法行政、依法管理的能力和水平。</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（三）推进依法执政，严格依规决策依法办事情况。</w:t>
      </w:r>
      <w:r>
        <w:rPr>
          <w:rFonts w:ascii="Times New Roman" w:eastAsia="仿宋_GB2312" w:hAnsi="Times New Roman" w:cs="Times New Roman" w:hint="eastAsia"/>
          <w:b/>
          <w:bCs/>
          <w:color w:val="000000"/>
          <w:kern w:val="2"/>
          <w:sz w:val="32"/>
          <w:szCs w:val="32"/>
          <w:highlight w:val="none"/>
          <w:lang w:val="en-US" w:eastAsia="zh-CN" w:bidi="ar-SA"/>
        </w:rPr>
        <w:t>一是</w:t>
      </w:r>
      <w:r>
        <w:rPr>
          <w:rFonts w:ascii="Times New Roman" w:eastAsia="仿宋_GB2312" w:hAnsi="Times New Roman" w:cs="Times New Roman" w:hint="eastAsia"/>
          <w:color w:val="000000"/>
          <w:kern w:val="2"/>
          <w:sz w:val="32"/>
          <w:szCs w:val="32"/>
          <w:highlight w:val="none"/>
          <w:lang w:val="en-US" w:eastAsia="zh-CN" w:bidi="ar-SA"/>
        </w:rPr>
        <w:t>皇宫镇高度重视党委依法决策机制的完善，明确提出要加强党委对重大问题决策的合法性审查，确保决策符合宪法和法律。</w:t>
      </w:r>
      <w:r>
        <w:rPr>
          <w:rFonts w:ascii="Times New Roman" w:eastAsia="仿宋_GB2312" w:hAnsi="Times New Roman" w:cs="Times New Roman" w:hint="eastAsia"/>
          <w:b/>
          <w:bCs/>
          <w:color w:val="000000"/>
          <w:kern w:val="2"/>
          <w:sz w:val="32"/>
          <w:szCs w:val="32"/>
          <w:highlight w:val="none"/>
          <w:lang w:val="en-US" w:eastAsia="zh-CN" w:bidi="ar-SA"/>
        </w:rPr>
        <w:t>二是</w:t>
      </w:r>
      <w:r>
        <w:rPr>
          <w:rFonts w:ascii="Times New Roman" w:eastAsia="仿宋_GB2312" w:hAnsi="Times New Roman" w:cs="Times New Roman" w:hint="eastAsia"/>
          <w:color w:val="000000"/>
          <w:kern w:val="2"/>
          <w:sz w:val="32"/>
          <w:szCs w:val="32"/>
          <w:highlight w:val="none"/>
          <w:lang w:val="en-US" w:eastAsia="zh-CN" w:bidi="ar-SA"/>
        </w:rPr>
        <w:t>为提高党委班子成员的法治素养和依法决策能力加强了法治培训。通过举办讲座等形式，组织党委班子成员学习法律法规、了解法治动态、掌握依法决策的方法和技巧。</w:t>
      </w:r>
      <w:r>
        <w:rPr>
          <w:rFonts w:ascii="Times New Roman" w:eastAsia="仿宋_GB2312" w:hAnsi="Times New Roman" w:cs="Times New Roman" w:hint="eastAsia"/>
          <w:b/>
          <w:bCs/>
          <w:color w:val="000000"/>
          <w:kern w:val="2"/>
          <w:sz w:val="32"/>
          <w:szCs w:val="32"/>
          <w:highlight w:val="none"/>
          <w:lang w:val="en-US" w:eastAsia="zh-CN" w:bidi="ar-SA"/>
        </w:rPr>
        <w:t>三是</w:t>
      </w:r>
      <w:r>
        <w:rPr>
          <w:rFonts w:ascii="Times New Roman" w:eastAsia="仿宋_GB2312" w:hAnsi="Times New Roman" w:cs="Times New Roman" w:hint="eastAsia"/>
          <w:color w:val="000000"/>
          <w:kern w:val="2"/>
          <w:sz w:val="32"/>
          <w:szCs w:val="32"/>
          <w:highlight w:val="none"/>
          <w:lang w:val="en-US" w:eastAsia="zh-CN" w:bidi="ar-SA"/>
        </w:rPr>
        <w:t>进一步加强实践探索，减少盲目决策的现象，推动党内法治建设的深入发展。</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（四）严格规范公正文明执法工作情况。</w:t>
      </w:r>
      <w:r>
        <w:rPr>
          <w:rFonts w:ascii="Times New Roman" w:eastAsia="仿宋_GB2312" w:hAnsi="Times New Roman" w:cs="Times New Roman" w:hint="eastAsia"/>
          <w:b/>
          <w:bCs/>
          <w:color w:val="000000"/>
          <w:kern w:val="2"/>
          <w:sz w:val="32"/>
          <w:szCs w:val="32"/>
          <w:highlight w:val="none"/>
          <w:lang w:val="en-US" w:eastAsia="zh-CN" w:bidi="ar-SA"/>
        </w:rPr>
        <w:t>一是</w:t>
      </w:r>
      <w:r>
        <w:rPr>
          <w:rFonts w:ascii="Times New Roman" w:eastAsia="仿宋_GB2312" w:hAnsi="Times New Roman" w:cs="Times New Roman" w:hint="eastAsia"/>
          <w:color w:val="000000"/>
          <w:kern w:val="2"/>
          <w:sz w:val="32"/>
          <w:szCs w:val="32"/>
          <w:highlight w:val="none"/>
          <w:lang w:val="en-US" w:eastAsia="zh-CN" w:bidi="ar-SA"/>
        </w:rPr>
        <w:t>皇宫镇高度重视行政执法工作，建立健全责任制，明确责任主体和责任范围，确保各部门和人员落实三项制度。主要负责人要切实担负起推行三项制度工作的第一责任，加强对行政执法工作的领导。</w:t>
      </w:r>
      <w:r>
        <w:rPr>
          <w:rFonts w:ascii="Times New Roman" w:eastAsia="仿宋_GB2312" w:hAnsi="Times New Roman" w:cs="Times New Roman" w:hint="eastAsia"/>
          <w:b/>
          <w:bCs/>
          <w:color w:val="000000"/>
          <w:kern w:val="2"/>
          <w:sz w:val="32"/>
          <w:szCs w:val="32"/>
          <w:highlight w:val="none"/>
          <w:lang w:val="en-US" w:eastAsia="zh-CN" w:bidi="ar-SA"/>
        </w:rPr>
        <w:t>二是</w:t>
      </w:r>
      <w:r>
        <w:rPr>
          <w:rFonts w:ascii="Times New Roman" w:eastAsia="仿宋_GB2312" w:hAnsi="Times New Roman" w:cs="Times New Roman" w:hint="eastAsia"/>
          <w:color w:val="000000"/>
          <w:kern w:val="2"/>
          <w:sz w:val="32"/>
          <w:szCs w:val="32"/>
          <w:highlight w:val="none"/>
          <w:lang w:val="en-US" w:eastAsia="zh-CN" w:bidi="ar-SA"/>
        </w:rPr>
        <w:t>加强对现有6名行政执法办公室和执法大队持证人员的培训和教育，提高其法律素养和业务能力。</w:t>
      </w:r>
      <w:r>
        <w:rPr>
          <w:rFonts w:ascii="Times New Roman" w:eastAsia="仿宋_GB2312" w:hAnsi="Times New Roman" w:cs="Times New Roman" w:hint="eastAsia"/>
          <w:b/>
          <w:bCs/>
          <w:color w:val="000000"/>
          <w:kern w:val="2"/>
          <w:sz w:val="32"/>
          <w:szCs w:val="32"/>
          <w:highlight w:val="none"/>
          <w:lang w:val="en-US" w:eastAsia="zh-CN" w:bidi="ar-SA"/>
        </w:rPr>
        <w:t>三是</w:t>
      </w:r>
      <w:r>
        <w:rPr>
          <w:rFonts w:ascii="Times New Roman" w:eastAsia="仿宋_GB2312" w:hAnsi="Times New Roman" w:cs="Times New Roman" w:hint="eastAsia"/>
          <w:color w:val="000000"/>
          <w:kern w:val="2"/>
          <w:sz w:val="32"/>
          <w:szCs w:val="32"/>
          <w:highlight w:val="none"/>
          <w:lang w:val="en-US" w:eastAsia="zh-CN" w:bidi="ar-SA"/>
        </w:rPr>
        <w:t>加大执法记录仪等音像记录设备的配备力度，确保执法全过程记录制度得到有效落实。同时，建立健全执法案卷管理制度，确保执法全过程留痕和可回溯管理。2024年以来，皇宫镇行政执法共立案2件，明确轻微违法后通过告知承诺、警示告诫现场整改3件，让执法既有力度又有温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Times New Roman" w:eastAsia="仿宋_GB2312" w:hAnsi="Times New Roman" w:cs="Times New Roman" w:hint="eastAsia"/>
          <w:color w:val="000000"/>
          <w:kern w:val="2"/>
          <w:sz w:val="32"/>
          <w:szCs w:val="32"/>
          <w:highlight w:val="none"/>
          <w:lang w:val="en-US" w:eastAsia="zh-CN" w:bidi="ar-SA"/>
        </w:rPr>
      </w:pPr>
      <w:r>
        <w:rPr>
          <w:rFonts w:ascii="楷体_GB2312" w:eastAsia="楷体_GB2312" w:hAnsi="楷体_GB2312" w:cs="楷体_GB2312" w:hint="eastAsia"/>
          <w:b/>
          <w:bCs/>
          <w:sz w:val="32"/>
          <w:szCs w:val="32"/>
          <w:lang w:val="en-US" w:eastAsia="zh-CN"/>
        </w:rPr>
        <w:t>（五）矛盾纠纷多元化预防调处化解机制运行情况。</w:t>
      </w:r>
      <w:r>
        <w:rPr>
          <w:rFonts w:ascii="仿宋_GB2312" w:eastAsia="仿宋_GB2312" w:hAnsi="仿宋_GB2312" w:cs="仿宋_GB2312" w:hint="eastAsia"/>
          <w:b/>
          <w:bCs/>
          <w:kern w:val="2"/>
          <w:sz w:val="32"/>
          <w:szCs w:val="32"/>
          <w:lang w:val="en-US" w:eastAsia="zh-CN" w:bidi="ar-SA"/>
        </w:rPr>
        <w:t>一是</w:t>
      </w:r>
      <w:r>
        <w:rPr>
          <w:rFonts w:ascii="仿宋_GB2312" w:eastAsia="仿宋_GB2312" w:hAnsi="仿宋_GB2312" w:cs="仿宋_GB2312" w:hint="eastAsia"/>
          <w:kern w:val="2"/>
          <w:sz w:val="32"/>
          <w:szCs w:val="32"/>
          <w:lang w:val="en-US" w:eastAsia="zh-CN" w:bidi="ar-SA"/>
        </w:rPr>
        <w:t>坚持预防为主，防控并举，把工作重点从事后处理转移到事前排查调处，将矛盾纠纷化解在萌芽状态。定时开展纠纷排查，随时了解、发现、掌握各种矛盾纠纷和苗头隐患。重大政治活动期间、重要节庆日等敏感时期，开展集中排查和不间断连续排查。</w:t>
      </w:r>
      <w:r>
        <w:rPr>
          <w:rFonts w:ascii="仿宋_GB2312" w:eastAsia="仿宋_GB2312" w:hAnsi="仿宋_GB2312" w:cs="仿宋_GB2312" w:hint="eastAsia"/>
          <w:b/>
          <w:bCs/>
          <w:kern w:val="2"/>
          <w:sz w:val="32"/>
          <w:szCs w:val="32"/>
          <w:lang w:val="en-US" w:eastAsia="zh-CN" w:bidi="ar-SA"/>
        </w:rPr>
        <w:t>二是</w:t>
      </w:r>
      <w:r>
        <w:rPr>
          <w:rFonts w:ascii="仿宋_GB2312" w:eastAsia="仿宋_GB2312" w:hAnsi="仿宋_GB2312" w:cs="仿宋_GB2312" w:hint="eastAsia"/>
          <w:kern w:val="2"/>
          <w:sz w:val="32"/>
          <w:szCs w:val="32"/>
          <w:lang w:val="en-US" w:eastAsia="zh-CN" w:bidi="ar-SA"/>
        </w:rPr>
        <w:t>实施领导包案。对排查出来的社会重大不稳定因素或热点、难点问题，按照“谁主管、谁负责”的原则，明确任务，责任到人。</w:t>
      </w:r>
      <w:r>
        <w:rPr>
          <w:rFonts w:ascii="仿宋_GB2312" w:eastAsia="仿宋_GB2312" w:hAnsi="仿宋_GB2312" w:cs="仿宋_GB2312" w:hint="eastAsia"/>
          <w:b/>
          <w:bCs/>
          <w:kern w:val="2"/>
          <w:sz w:val="32"/>
          <w:szCs w:val="32"/>
          <w:lang w:val="en-US" w:eastAsia="zh-CN" w:bidi="ar-SA"/>
        </w:rPr>
        <w:t>三是</w:t>
      </w:r>
      <w:r>
        <w:rPr>
          <w:rFonts w:ascii="Times New Roman" w:eastAsia="仿宋_GB2312" w:hAnsi="Times New Roman" w:cs="Times New Roman" w:hint="eastAsia"/>
          <w:color w:val="000000"/>
          <w:kern w:val="2"/>
          <w:sz w:val="32"/>
          <w:szCs w:val="32"/>
          <w:highlight w:val="none"/>
          <w:lang w:val="en-US" w:eastAsia="zh-CN" w:bidi="ar-SA"/>
        </w:rPr>
        <w:t>围绕“小事不出村、大事不出镇、矛盾不上交”的</w:t>
      </w:r>
      <w:r>
        <w:rPr>
          <w:rFonts w:eastAsia="仿宋_GB2312" w:cs="Times New Roman" w:hint="eastAsia"/>
          <w:color w:val="000000"/>
          <w:kern w:val="2"/>
          <w:sz w:val="32"/>
          <w:szCs w:val="32"/>
          <w:highlight w:val="none"/>
          <w:lang w:val="en-US" w:eastAsia="zh-CN" w:bidi="ar-SA"/>
        </w:rPr>
        <w:t>新时代“枫桥经验”</w:t>
      </w:r>
      <w:r>
        <w:rPr>
          <w:rFonts w:ascii="仿宋_GB2312" w:eastAsia="仿宋_GB2312" w:hAnsi="仿宋_GB2312" w:cs="仿宋_GB2312" w:hint="eastAsia"/>
          <w:kern w:val="2"/>
          <w:sz w:val="32"/>
          <w:szCs w:val="32"/>
          <w:lang w:val="en-US" w:eastAsia="zh-CN" w:bidi="ar-SA"/>
        </w:rPr>
        <w:t>加强完善镇村调解机制，对矛盾纠纷及早介入调解，注重人民调解、行政调解、司法调解紧密结合，有效提高矛盾纠纷的调处率和调处成功率。</w:t>
      </w:r>
      <w:r>
        <w:rPr>
          <w:rFonts w:ascii="Times New Roman" w:eastAsia="仿宋_GB2312" w:hAnsi="Times New Roman" w:cs="Times New Roman" w:hint="eastAsia"/>
          <w:color w:val="000000"/>
          <w:kern w:val="2"/>
          <w:sz w:val="32"/>
          <w:szCs w:val="32"/>
          <w:highlight w:val="none"/>
          <w:lang w:val="en-US" w:eastAsia="zh-CN" w:bidi="ar-SA"/>
        </w:rPr>
        <w:t>皇宫镇辖区11个人民调解委员会2024年1-10月共调解矛盾纠纷51起，疑难复杂案件2起，涉案金额37.7万元。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_GB2312" w:eastAsia="仿宋_GB2312" w:hAnsi="仿宋_GB2312" w:cs="仿宋_GB2312" w:hint="default"/>
          <w:kern w:val="2"/>
          <w:sz w:val="32"/>
          <w:szCs w:val="32"/>
          <w:lang w:val="en-US" w:eastAsia="zh-CN" w:bidi="ar-SA"/>
        </w:rPr>
      </w:pPr>
      <w:r>
        <w:rPr>
          <w:rFonts w:ascii="楷体_GB2312" w:eastAsia="楷体_GB2312" w:hAnsi="楷体_GB2312" w:cs="楷体_GB2312" w:hint="eastAsia"/>
          <w:b/>
          <w:bCs/>
          <w:sz w:val="32"/>
          <w:szCs w:val="32"/>
          <w:lang w:val="en-US" w:eastAsia="zh-CN"/>
        </w:rPr>
        <w:t>（六）推进全民普法守法，法治文化阵地建设情况。</w:t>
      </w:r>
      <w:r>
        <w:rPr>
          <w:rFonts w:ascii="仿宋_GB2312" w:eastAsia="仿宋_GB2312" w:hAnsi="仿宋_GB2312" w:cs="仿宋_GB2312" w:hint="eastAsia"/>
          <w:b/>
          <w:bCs/>
          <w:kern w:val="2"/>
          <w:sz w:val="32"/>
          <w:szCs w:val="32"/>
          <w:lang w:val="en-US" w:eastAsia="zh-CN" w:bidi="ar-SA"/>
        </w:rPr>
        <w:t>一是</w:t>
      </w:r>
      <w:r>
        <w:rPr>
          <w:rFonts w:ascii="仿宋_GB2312" w:eastAsia="仿宋_GB2312" w:hAnsi="仿宋_GB2312" w:cs="仿宋_GB2312" w:hint="eastAsia"/>
          <w:kern w:val="2"/>
          <w:sz w:val="32"/>
          <w:szCs w:val="32"/>
          <w:lang w:val="en-US" w:eastAsia="zh-CN" w:bidi="ar-SA"/>
        </w:rPr>
        <w:t>皇宫镇深入落实“谁执法谁普法”工作责任制，明确各部门的普法职责和任务。建立普法责任制清单，将普法工作细化到具体岗位和个人，确保责任到人、任务到岗。2024年皇宫镇各普法责任单位共开展普法宣传活动120余场次，宣传人数达3200余人次，进一步增强了法治环境。</w:t>
      </w:r>
      <w:r>
        <w:rPr>
          <w:rFonts w:ascii="仿宋_GB2312" w:eastAsia="仿宋_GB2312" w:hAnsi="仿宋_GB2312" w:cs="仿宋_GB2312" w:hint="eastAsia"/>
          <w:b/>
          <w:bCs/>
          <w:kern w:val="2"/>
          <w:sz w:val="32"/>
          <w:szCs w:val="32"/>
          <w:lang w:val="en-US" w:eastAsia="zh-CN" w:bidi="ar-SA"/>
        </w:rPr>
        <w:t>二是</w:t>
      </w:r>
      <w:r>
        <w:rPr>
          <w:rFonts w:ascii="仿宋_GB2312" w:eastAsia="仿宋_GB2312" w:hAnsi="仿宋_GB2312" w:cs="仿宋_GB2312" w:hint="eastAsia"/>
          <w:kern w:val="2"/>
          <w:sz w:val="32"/>
          <w:szCs w:val="32"/>
          <w:lang w:val="en-US" w:eastAsia="zh-CN" w:bidi="ar-SA"/>
        </w:rPr>
        <w:t>积极培养辖区每村3名共30人的“法律明白人”队伍，每村5户的农村学法用法示范户共50户的农村学法用法示范户队伍，2024年共开展入户走访1000余人次，国旗下普法宣讲200余场次，用通俗易懂的语言讲解法律知识。</w:t>
      </w:r>
      <w:r>
        <w:rPr>
          <w:rFonts w:ascii="仿宋_GB2312" w:eastAsia="仿宋_GB2312" w:hAnsi="仿宋_GB2312" w:cs="仿宋_GB2312" w:hint="eastAsia"/>
          <w:b/>
          <w:bCs/>
          <w:kern w:val="2"/>
          <w:sz w:val="32"/>
          <w:szCs w:val="32"/>
          <w:lang w:val="en-US" w:eastAsia="zh-CN" w:bidi="ar-SA"/>
        </w:rPr>
        <w:t>三是</w:t>
      </w:r>
      <w:r>
        <w:rPr>
          <w:rFonts w:ascii="仿宋_GB2312" w:eastAsia="仿宋_GB2312" w:hAnsi="仿宋_GB2312" w:cs="仿宋_GB2312" w:hint="eastAsia"/>
          <w:kern w:val="2"/>
          <w:sz w:val="32"/>
          <w:szCs w:val="32"/>
          <w:lang w:val="en-US" w:eastAsia="zh-CN" w:bidi="ar-SA"/>
        </w:rPr>
        <w:t>皇宫镇按照乡镇“四个一”村居“三个一”标准打造法治文化阵地，结合当地历史文化和法治特色，打造出独具特色的法治文化品牌。全镇5个行政村已实现“三个一”法治文化阵地全覆盖，镇法治文化广场也投入使用，</w:t>
      </w:r>
      <w:r>
        <w:rPr>
          <w:rFonts w:ascii="仿宋_GB2312" w:eastAsia="仿宋_GB2312" w:hAnsi="仿宋_GB2312" w:cs="仿宋_GB2312" w:hint="default"/>
          <w:kern w:val="2"/>
          <w:sz w:val="32"/>
          <w:szCs w:val="32"/>
          <w:lang w:val="en-US" w:eastAsia="zh-CN" w:bidi="ar-SA"/>
        </w:rPr>
        <w:t>建设完成沙枣林村法治文化长廊精品法治文化阵地</w:t>
      </w:r>
      <w:r>
        <w:rPr>
          <w:rFonts w:ascii="仿宋_GB2312" w:eastAsia="仿宋_GB2312" w:hAnsi="仿宋_GB2312" w:cs="仿宋_GB2312" w:hint="eastAsia"/>
          <w:kern w:val="2"/>
          <w:sz w:val="32"/>
          <w:szCs w:val="32"/>
          <w:lang w:val="en-US" w:eastAsia="zh-CN" w:bidi="ar-SA"/>
        </w:rPr>
        <w:t>，</w:t>
      </w:r>
      <w:r>
        <w:rPr>
          <w:rFonts w:ascii="仿宋_GB2312" w:eastAsia="仿宋_GB2312" w:hAnsi="仿宋_GB2312" w:cs="仿宋_GB2312" w:hint="default"/>
          <w:kern w:val="2"/>
          <w:sz w:val="32"/>
          <w:szCs w:val="32"/>
          <w:lang w:val="en-US" w:eastAsia="zh-CN" w:bidi="ar-SA"/>
        </w:rPr>
        <w:t>定期举办法治长廊普法小课堂</w:t>
      </w:r>
      <w:r>
        <w:rPr>
          <w:rFonts w:ascii="仿宋_GB2312" w:eastAsia="仿宋_GB2312" w:hAnsi="仿宋_GB2312" w:cs="仿宋_GB2312" w:hint="eastAsia"/>
          <w:kern w:val="2"/>
          <w:sz w:val="32"/>
          <w:szCs w:val="32"/>
          <w:lang w:val="en-US" w:eastAsia="zh-CN" w:bidi="ar-SA"/>
        </w:rPr>
        <w:t>20余期，有效增强了群众对法治的认同感和参与度。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二、存在问题</w:t>
      </w:r>
    </w:p>
    <w:p>
      <w:pPr>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outlineLvl w:val="9"/>
        <w:rPr>
          <w:rFonts w:ascii="仿宋_GB2312" w:eastAsia="仿宋_GB2312" w:hAnsi="仿宋_GB2312" w:cs="仿宋_GB2312" w:hint="eastAsia"/>
          <w:kern w:val="2"/>
          <w:sz w:val="32"/>
          <w:szCs w:val="32"/>
          <w:lang w:val="en-US" w:eastAsia="zh-CN" w:bidi="ar-SA"/>
        </w:rPr>
      </w:pPr>
      <w:r>
        <w:rPr>
          <w:rFonts w:ascii="楷体_GB2312" w:eastAsia="楷体_GB2312" w:hAnsi="楷体_GB2312" w:cs="楷体_GB2312" w:hint="eastAsia"/>
          <w:b/>
          <w:bCs/>
          <w:sz w:val="32"/>
          <w:szCs w:val="32"/>
          <w:lang w:val="en-US" w:eastAsia="zh-CN"/>
        </w:rPr>
        <w:t>（一）依法行政专业队伍素质有待加强，对综合执法改革工作认识不够，开展行政执法工作有畏难怕错情绪。</w:t>
      </w:r>
      <w:r>
        <w:rPr>
          <w:rFonts w:ascii="仿宋_GB2312" w:eastAsia="仿宋_GB2312" w:hAnsi="仿宋_GB2312" w:cs="仿宋_GB2312" w:hint="eastAsia"/>
          <w:kern w:val="2"/>
          <w:sz w:val="32"/>
          <w:szCs w:val="32"/>
          <w:lang w:val="en-US" w:eastAsia="zh-CN" w:bidi="ar-SA"/>
        </w:rPr>
        <w:t>因乡镇执法权下放，行政执法工作人员</w:t>
      </w:r>
      <w:r>
        <w:rPr>
          <w:rFonts w:ascii="仿宋_GB2312" w:eastAsia="仿宋_GB2312" w:hAnsi="仿宋_GB2312" w:cs="仿宋_GB2312" w:hint="eastAsia"/>
          <w:b w:val="0"/>
          <w:bCs w:val="0"/>
          <w:kern w:val="2"/>
          <w:sz w:val="32"/>
          <w:szCs w:val="32"/>
          <w:lang w:val="en-US" w:eastAsia="zh-CN" w:bidi="ar-SA"/>
        </w:rPr>
        <w:t>能力水平薄弱，存在对执法办案流程不熟悉、自由裁量权把握不准等问题</w:t>
      </w:r>
      <w:r>
        <w:rPr>
          <w:rFonts w:ascii="仿宋_GB2312" w:eastAsia="仿宋_GB2312" w:hAnsi="仿宋_GB2312" w:cs="仿宋_GB2312" w:hint="eastAsia"/>
          <w:kern w:val="2"/>
          <w:sz w:val="32"/>
          <w:szCs w:val="32"/>
          <w:lang w:val="en-US" w:eastAsia="zh-CN" w:bidi="ar-SA"/>
        </w:rPr>
        <w:t>，行政执法还存在程序不规范等问题。</w:t>
      </w:r>
    </w:p>
    <w:p>
      <w:pPr>
        <w:pStyle w:val="NormalWeb"/>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spacing w:before="0" w:beforeAutospacing="0" w:after="0" w:afterAutospacing="0"/>
        <w:ind w:right="0" w:firstLine="640" w:rightChars="0" w:firstLineChars="200"/>
        <w:jc w:val="left"/>
        <w:rPr>
          <w:rFonts w:ascii="仿宋_GB2312" w:eastAsia="仿宋_GB2312" w:hAnsi="仿宋_GB2312" w:cs="仿宋_GB2312" w:hint="eastAsia"/>
          <w:kern w:val="2"/>
          <w:sz w:val="32"/>
          <w:szCs w:val="32"/>
          <w:lang w:val="en-US" w:eastAsia="zh-CN" w:bidi="ar-SA"/>
        </w:rPr>
      </w:pPr>
      <w:r>
        <w:rPr>
          <w:rFonts w:ascii="楷体_GB2312" w:eastAsia="楷体_GB2312" w:hAnsi="楷体_GB2312" w:cs="楷体_GB2312" w:hint="eastAsia"/>
          <w:b/>
          <w:bCs/>
          <w:kern w:val="2"/>
          <w:sz w:val="32"/>
          <w:szCs w:val="32"/>
          <w:lang w:val="en-US" w:eastAsia="zh-CN" w:bidi="ar-SA"/>
        </w:rPr>
        <w:t>（二）法治文化阵地引领和示范作用发挥不明显。</w:t>
      </w:r>
      <w:r>
        <w:rPr>
          <w:rFonts w:ascii="仿宋_GB2312" w:eastAsia="仿宋_GB2312" w:hAnsi="仿宋_GB2312" w:cs="仿宋_GB2312" w:hint="eastAsia"/>
          <w:kern w:val="2"/>
          <w:sz w:val="32"/>
          <w:szCs w:val="32"/>
          <w:lang w:val="en-US" w:eastAsia="zh-CN" w:bidi="ar-SA"/>
        </w:rPr>
        <w:t>虽然镇村两级建设了一批法治阵地，但从“有形”到“有效”亟须加强。日常普法宣传多依靠村法律顾问、基层法律服务工作者等，受限于时间安排以及人员素质，导致法治文化阵地效果欠佳，基层法治氛围不够浓厚。</w:t>
      </w:r>
    </w:p>
    <w:p>
      <w:pPr>
        <w:pStyle w:val="NormalWeb"/>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spacing w:before="0" w:beforeAutospacing="0" w:after="0" w:afterAutospacing="0"/>
        <w:ind w:right="0" w:firstLine="640" w:rightChars="0" w:firstLineChars="200"/>
        <w:jc w:val="left"/>
        <w:rPr>
          <w:rFonts w:ascii="仿宋_GB2312" w:eastAsia="仿宋_GB2312" w:hAnsi="仿宋_GB2312" w:cs="仿宋_GB2312" w:hint="eastAsia"/>
          <w:kern w:val="2"/>
          <w:sz w:val="32"/>
          <w:szCs w:val="32"/>
          <w:lang w:val="en-US" w:eastAsia="zh-CN" w:bidi="ar-SA"/>
        </w:rPr>
      </w:pPr>
      <w:r>
        <w:rPr>
          <w:rFonts w:ascii="楷体_GB2312" w:eastAsia="楷体_GB2312" w:hAnsi="楷体_GB2312" w:cs="楷体_GB2312" w:hint="eastAsia"/>
          <w:b/>
          <w:bCs/>
          <w:kern w:val="2"/>
          <w:sz w:val="32"/>
          <w:szCs w:val="32"/>
          <w:lang w:val="en-US" w:eastAsia="zh-CN" w:bidi="ar-SA"/>
        </w:rPr>
        <w:t>（三）普法宣传形式创新不够。</w:t>
      </w:r>
      <w:r>
        <w:rPr>
          <w:rFonts w:ascii="仿宋_GB2312" w:eastAsia="仿宋_GB2312" w:hAnsi="仿宋_GB2312" w:cs="仿宋_GB2312" w:hint="eastAsia"/>
          <w:kern w:val="2"/>
          <w:sz w:val="32"/>
          <w:szCs w:val="32"/>
          <w:lang w:val="en-US" w:eastAsia="zh-CN" w:bidi="ar-SA"/>
        </w:rPr>
        <w:t>普法宣传活动形式相对固定，运用新媒体新技术等吸引群众参与、互动的普法宣传活动较少。法治宣传方式的创新有待加强。普法宣传方式多以开展讲座、发放宣传资料、展出宣传板、悬挂条幅等传统普法形式，利用微信公众号、文化融合等方式开展普法运用不够，创新方法的力度有待加大。</w:t>
      </w:r>
    </w:p>
    <w:p>
      <w:pPr>
        <w:keepNext w:val="0"/>
        <w:keepLines w:val="0"/>
        <w:pageBreakBefore w:val="0"/>
        <w:widowControl w:val="0"/>
        <w:kinsoku/>
        <w:wordWrap/>
        <w:overflowPunct/>
        <w:topLinePunct w:val="0"/>
        <w:autoSpaceDE/>
        <w:autoSpaceDN/>
        <w:bidi w:val="0"/>
        <w:spacing w:before="0" w:after="0" w:line="560" w:lineRule="exact"/>
        <w:ind w:firstLine="640" w:firstLineChars="200"/>
        <w:jc w:val="both"/>
        <w:outlineLvl w:val="9"/>
        <w:rPr>
          <w:rFonts w:ascii="黑体" w:eastAsia="黑体" w:hAnsi="黑体" w:cs="黑体" w:hint="eastAsia"/>
          <w:b w:val="0"/>
          <w:bCs w:val="0"/>
          <w:color w:val="auto"/>
          <w:sz w:val="32"/>
          <w:szCs w:val="32"/>
          <w:lang w:val="en-US" w:eastAsia="zh-CN"/>
        </w:rPr>
      </w:pPr>
      <w:r>
        <w:rPr>
          <w:rFonts w:ascii="黑体" w:eastAsia="黑体" w:hAnsi="黑体" w:cs="黑体" w:hint="eastAsia"/>
          <w:b w:val="0"/>
          <w:bCs w:val="0"/>
          <w:color w:val="auto"/>
          <w:sz w:val="32"/>
          <w:szCs w:val="32"/>
          <w:lang w:val="en-US" w:eastAsia="zh-CN"/>
        </w:rPr>
        <w:t>三、</w:t>
      </w:r>
      <w:r>
        <w:rPr>
          <w:rFonts w:ascii="Times New Roman" w:eastAsia="楷体_GB2312" w:hAnsi="Times New Roman" w:cs="Times New Roman" w:hint="default"/>
          <w:b w:val="0"/>
          <w:bCs w:val="0"/>
          <w:color w:val="auto"/>
          <w:sz w:val="32"/>
          <w:szCs w:val="32"/>
          <w:lang w:val="en-US" w:eastAsia="zh-CN"/>
        </w:rPr>
        <w:t>202</w:t>
      </w:r>
      <w:r>
        <w:rPr>
          <w:rFonts w:eastAsia="楷体_GB2312" w:cs="Times New Roman" w:hint="eastAsia"/>
          <w:b w:val="0"/>
          <w:bCs w:val="0"/>
          <w:color w:val="auto"/>
          <w:sz w:val="32"/>
          <w:szCs w:val="32"/>
          <w:lang w:val="en-US" w:eastAsia="zh-CN"/>
        </w:rPr>
        <w:t>5</w:t>
      </w:r>
      <w:r>
        <w:rPr>
          <w:rFonts w:ascii="黑体" w:eastAsia="黑体" w:hAnsi="黑体" w:cs="黑体" w:hint="eastAsia"/>
          <w:b w:val="0"/>
          <w:bCs w:val="0"/>
          <w:color w:val="auto"/>
          <w:sz w:val="32"/>
          <w:szCs w:val="32"/>
          <w:lang w:val="en-US" w:eastAsia="zh-CN"/>
        </w:rPr>
        <w:t>年重点工作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kern w:val="2"/>
          <w:sz w:val="32"/>
          <w:szCs w:val="32"/>
          <w:lang w:val="en-US" w:eastAsia="zh-CN" w:bidi="ar-SA"/>
        </w:rPr>
        <w:t>2025年，皇宫镇将进一步提高增加法治建设工作的责任感和紧迫感，努力提高政府依法行政工作水平，推进法治型政府、服务型政府建设水平更上一层楼。</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_GB2312" w:eastAsia="仿宋_GB2312" w:hAnsi="仿宋_GB2312" w:cs="仿宋_GB2312" w:hint="eastAsia"/>
          <w:kern w:val="2"/>
          <w:sz w:val="32"/>
          <w:szCs w:val="32"/>
          <w:lang w:val="en-US" w:eastAsia="zh-CN" w:bidi="ar-SA"/>
        </w:rPr>
      </w:pPr>
      <w:r>
        <w:rPr>
          <w:rFonts w:ascii="楷体_GB2312" w:eastAsia="楷体_GB2312" w:hAnsi="楷体_GB2312" w:cs="楷体_GB2312" w:hint="eastAsia"/>
          <w:b/>
          <w:bCs/>
          <w:kern w:val="2"/>
          <w:sz w:val="32"/>
          <w:szCs w:val="32"/>
          <w:lang w:val="en-US" w:eastAsia="zh-CN" w:bidi="ar-SA"/>
        </w:rPr>
        <w:t>（一）进一步提高依法行政能力。</w:t>
      </w:r>
      <w:r>
        <w:rPr>
          <w:rFonts w:ascii="仿宋_GB2312" w:eastAsia="仿宋_GB2312" w:hAnsi="仿宋_GB2312" w:cs="仿宋_GB2312" w:hint="eastAsia"/>
          <w:kern w:val="2"/>
          <w:sz w:val="32"/>
          <w:szCs w:val="32"/>
          <w:lang w:val="en-US" w:eastAsia="zh-CN" w:bidi="ar-SA"/>
        </w:rPr>
        <w:t>认真落实领导干部学法用法制度，坚持领导干部带头尊法学法守法用法，不断提高干部法治素养和法治能力。结合实际工作情况，进一步加强法律知识培训，从严从实抓好基层干部学法用法，不断提升依法行政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_GB2312" w:eastAsia="仿宋_GB2312" w:hAnsi="仿宋_GB2312" w:cs="仿宋_GB2312" w:hint="eastAsia"/>
          <w:kern w:val="2"/>
          <w:sz w:val="32"/>
          <w:szCs w:val="32"/>
          <w:lang w:val="en-US" w:eastAsia="zh-CN" w:bidi="ar-SA"/>
        </w:rPr>
      </w:pPr>
      <w:r>
        <w:rPr>
          <w:rFonts w:ascii="楷体_GB2312" w:eastAsia="楷体_GB2312" w:hAnsi="楷体_GB2312" w:cs="楷体_GB2312" w:hint="eastAsia"/>
          <w:b/>
          <w:bCs/>
          <w:kern w:val="2"/>
          <w:sz w:val="32"/>
          <w:szCs w:val="32"/>
          <w:lang w:val="en-US" w:eastAsia="zh-CN" w:bidi="ar-SA"/>
        </w:rPr>
        <w:t>（二）进一步建立健全依法行政决策机制。</w:t>
      </w:r>
      <w:r>
        <w:rPr>
          <w:rFonts w:ascii="仿宋_GB2312" w:eastAsia="仿宋_GB2312" w:hAnsi="仿宋_GB2312" w:cs="仿宋_GB2312" w:hint="eastAsia"/>
          <w:kern w:val="2"/>
          <w:sz w:val="32"/>
          <w:szCs w:val="32"/>
          <w:lang w:val="en-US" w:eastAsia="zh-CN" w:bidi="ar-SA"/>
        </w:rPr>
        <w:t>推行完善法律顾问工作制度，贯彻落实法治政府建设要求，为镇政府在管理职权方面的重大决策的制定提供法律意见，开展法律咨询服务。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_GB2312" w:eastAsia="仿宋_GB2312" w:hAnsi="仿宋_GB2312" w:cs="仿宋_GB2312" w:hint="eastAsia"/>
          <w:kern w:val="2"/>
          <w:sz w:val="32"/>
          <w:szCs w:val="32"/>
          <w:lang w:val="en-US" w:eastAsia="zh-CN" w:bidi="ar-SA"/>
        </w:rPr>
      </w:pPr>
      <w:r>
        <w:rPr>
          <w:rFonts w:ascii="楷体_GB2312" w:eastAsia="楷体_GB2312" w:hAnsi="楷体_GB2312" w:cs="楷体_GB2312" w:hint="eastAsia"/>
          <w:b/>
          <w:bCs/>
          <w:kern w:val="2"/>
          <w:sz w:val="32"/>
          <w:szCs w:val="32"/>
          <w:lang w:val="en-US" w:eastAsia="zh-CN" w:bidi="ar-SA"/>
        </w:rPr>
        <w:t>（三）进一步探索建立人民群众监督评价机制。</w:t>
      </w:r>
      <w:r>
        <w:rPr>
          <w:rFonts w:ascii="仿宋_GB2312" w:eastAsia="仿宋_GB2312" w:hAnsi="仿宋_GB2312" w:cs="仿宋_GB2312" w:hint="eastAsia"/>
          <w:kern w:val="2"/>
          <w:sz w:val="32"/>
          <w:szCs w:val="32"/>
          <w:lang w:val="en-US" w:eastAsia="zh-CN" w:bidi="ar-SA"/>
        </w:rPr>
        <w:t>通过设立投诉举报渠道、开展满意度调查等方式，广泛听取人民群众的意见和建议。将人民群众的监督评价结果作为行政执法绩效考核、奖惩激励的重要依据，推动行政执法工作人员不断改进工作作风、提升服务质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_GB2312" w:eastAsia="仿宋_GB2312" w:hAnsi="仿宋_GB2312" w:cs="仿宋_GB2312" w:hint="eastAsia"/>
          <w:kern w:val="2"/>
          <w:sz w:val="32"/>
          <w:szCs w:val="32"/>
          <w:lang w:val="en-US" w:eastAsia="zh-CN" w:bidi="ar-SA"/>
        </w:rPr>
      </w:pPr>
    </w:p>
    <w:p>
      <w:pPr>
        <w:pStyle w:val="BodyTextFirstIndent"/>
        <w:keepNext w:val="0"/>
        <w:keepLines w:val="0"/>
        <w:pageBreakBefore w:val="0"/>
        <w:widowControl w:val="0"/>
        <w:kinsoku/>
        <w:wordWrap/>
        <w:overflowPunct/>
        <w:topLinePunct w:val="0"/>
        <w:autoSpaceDE/>
        <w:autoSpaceDN/>
        <w:bidi w:val="0"/>
        <w:snapToGrid/>
        <w:spacing w:after="0" w:line="560" w:lineRule="exact"/>
        <w:jc w:val="left"/>
        <w:textAlignment w:val="auto"/>
        <w:outlineLvl w:val="9"/>
        <w:rPr>
          <w:rFonts w:ascii="仿宋_GB2312" w:eastAsia="仿宋_GB2312" w:hAnsi="仿宋_GB2312" w:cs="仿宋_GB2312" w:hint="eastAsia"/>
          <w:color w:val="auto"/>
          <w:sz w:val="32"/>
          <w:szCs w:val="32"/>
          <w:lang w:val="en-US" w:eastAsia="zh-CN"/>
        </w:rPr>
      </w:pPr>
    </w:p>
    <w:p>
      <w:pPr>
        <w:rPr>
          <w:rFonts w:hint="eastAsia"/>
          <w:lang w:val="en-US" w:eastAsia="zh-CN"/>
        </w:rPr>
      </w:pPr>
    </w:p>
    <w:p>
      <w:pPr>
        <w:pStyle w:val="BodyTextFirstIndent"/>
        <w:keepNext w:val="0"/>
        <w:keepLines w:val="0"/>
        <w:pageBreakBefore w:val="0"/>
        <w:widowControl w:val="0"/>
        <w:kinsoku/>
        <w:wordWrap/>
        <w:overflowPunct/>
        <w:topLinePunct w:val="0"/>
        <w:autoSpaceDE/>
        <w:autoSpaceDN/>
        <w:bidi w:val="0"/>
        <w:snapToGrid/>
        <w:spacing w:after="0" w:line="560" w:lineRule="exact"/>
        <w:ind w:left="6077" w:hanging="4800" w:leftChars="608" w:hangingChars="1500"/>
        <w:jc w:val="left"/>
        <w:textAlignment w:val="auto"/>
        <w:outlineLvl w:val="9"/>
        <w:rPr>
          <w:rFonts w:ascii="仿宋_GB2312" w:eastAsia="仿宋_GB2312" w:hAnsi="仿宋_GB2312" w:cs="仿宋_GB2312" w:hint="default"/>
          <w:color w:val="auto"/>
          <w:sz w:val="32"/>
          <w:szCs w:val="32"/>
          <w:lang w:val="en-US" w:eastAsia="zh-CN"/>
        </w:rPr>
      </w:pPr>
      <w:r>
        <w:rPr>
          <w:rFonts w:ascii="仿宋_GB2312" w:eastAsia="仿宋_GB2312" w:hAnsi="仿宋_GB2312" w:cs="仿宋_GB2312" w:hint="eastAsia"/>
          <w:color w:val="auto"/>
          <w:sz w:val="32"/>
          <w:szCs w:val="32"/>
          <w:lang w:val="en-US" w:eastAsia="zh-CN"/>
        </w:rPr>
        <w:t xml:space="preserve">                          乌苏市皇宫镇人民政府</w:t>
      </w:r>
    </w:p>
    <w:p>
      <w:pPr>
        <w:pStyle w:val="BodyTextFirstIndent"/>
        <w:keepNext w:val="0"/>
        <w:keepLines w:val="0"/>
        <w:pageBreakBefore w:val="0"/>
        <w:widowControl w:val="0"/>
        <w:kinsoku/>
        <w:wordWrap/>
        <w:overflowPunct/>
        <w:topLinePunct w:val="0"/>
        <w:autoSpaceDE/>
        <w:autoSpaceDN/>
        <w:bidi w:val="0"/>
        <w:snapToGrid/>
        <w:spacing w:after="0" w:line="560" w:lineRule="exact"/>
        <w:ind w:left="0"/>
        <w:jc w:val="left"/>
        <w:textAlignment w:val="auto"/>
        <w:outlineLvl w:val="9"/>
      </w:pPr>
      <w:r>
        <w:rPr>
          <w:rFonts w:ascii="仿宋_GB2312" w:eastAsia="仿宋_GB2312" w:hAnsi="仿宋_GB2312" w:cs="仿宋_GB2312" w:hint="eastAsia"/>
          <w:color w:val="auto"/>
          <w:sz w:val="32"/>
          <w:szCs w:val="32"/>
          <w:lang w:val="en-US" w:eastAsia="zh-CN"/>
        </w:rPr>
        <w:t xml:space="preserve">                                    </w:t>
      </w:r>
      <w:r>
        <w:rPr>
          <w:rFonts w:ascii="Times New Roman" w:eastAsia="楷体_GB2312" w:hAnsi="Times New Roman" w:cs="Times New Roman" w:hint="default"/>
          <w:color w:val="auto"/>
          <w:sz w:val="32"/>
          <w:szCs w:val="32"/>
          <w:lang w:val="en-US" w:eastAsia="zh-CN"/>
        </w:rPr>
        <w:t>202</w:t>
      </w:r>
      <w:r>
        <w:rPr>
          <w:rFonts w:eastAsia="楷体_GB2312" w:cs="Times New Roman" w:hint="eastAsia"/>
          <w:color w:val="auto"/>
          <w:sz w:val="32"/>
          <w:szCs w:val="32"/>
          <w:lang w:val="en-US" w:eastAsia="zh-CN"/>
        </w:rPr>
        <w:t>5</w:t>
      </w:r>
      <w:r>
        <w:rPr>
          <w:rFonts w:ascii="仿宋_GB2312" w:eastAsia="仿宋_GB2312" w:hAnsi="仿宋_GB2312" w:cs="仿宋_GB2312" w:hint="eastAsia"/>
          <w:color w:val="auto"/>
          <w:sz w:val="32"/>
          <w:szCs w:val="32"/>
          <w:lang w:val="en-US" w:eastAsia="zh-CN"/>
        </w:rPr>
        <w:t>年</w:t>
      </w:r>
      <w:r>
        <w:rPr>
          <w:rFonts w:eastAsia="仿宋_GB2312" w:cs="Times New Roman" w:hint="eastAsia"/>
          <w:color w:val="auto"/>
          <w:sz w:val="32"/>
          <w:szCs w:val="32"/>
          <w:lang w:val="en-US" w:eastAsia="zh-CN"/>
        </w:rPr>
        <w:t>3</w:t>
      </w:r>
      <w:r>
        <w:rPr>
          <w:rFonts w:ascii="仿宋_GB2312" w:eastAsia="仿宋_GB2312" w:hAnsi="仿宋_GB2312" w:cs="仿宋_GB2312" w:hint="eastAsia"/>
          <w:color w:val="auto"/>
          <w:sz w:val="32"/>
          <w:szCs w:val="32"/>
          <w:lang w:val="en-US" w:eastAsia="zh-CN"/>
        </w:rPr>
        <w:t>月</w:t>
      </w:r>
      <w:r>
        <w:rPr>
          <w:rFonts w:eastAsia="仿宋_GB2312" w:cs="Times New Roman" w:hint="eastAsia"/>
          <w:color w:val="auto"/>
          <w:sz w:val="32"/>
          <w:szCs w:val="32"/>
          <w:lang w:val="en-US" w:eastAsia="zh-CN"/>
        </w:rPr>
        <w:t>4</w:t>
      </w:r>
      <w:r>
        <w:rPr>
          <w:rFonts w:ascii="仿宋_GB2312" w:eastAsia="仿宋_GB2312" w:hAnsi="仿宋_GB2312" w:cs="仿宋_GB2312" w:hint="eastAsia"/>
          <w:color w:val="auto"/>
          <w:sz w:val="32"/>
          <w:szCs w:val="32"/>
          <w:lang w:val="en-US" w:eastAsia="zh-CN"/>
        </w:rPr>
        <w:t xml:space="preserve">日         </w:t>
      </w:r>
    </w:p>
    <w:sectPr>
      <w:footerReference w:type="default" r:id="rId5"/>
      <w:pgSz w:w="11906" w:h="16838"/>
      <w:pgMar w:top="2098" w:right="1531" w:bottom="1984" w:left="1531" w:header="851" w:footer="992" w:gutter="0"/>
      <w:pgNumType w:fmt="decimal"/>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heme="minorEastAsia" w:eastAsiaTheme="minorEastAsia" w:hAnsiTheme="minorEastAsia" w:cstheme="minorEastAsia" w:hint="eastAsia"/>
        <w:sz w:val="32"/>
        <w:szCs w:val="32"/>
      </w:rPr>
    </w:pPr>
    <w:r>
      <w:rPr>
        <w:sz w:val="3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9240E0"/>
    <w:rsid w:val="031768F5"/>
    <w:rsid w:val="198234AA"/>
    <w:rsid w:val="219240E0"/>
    <w:rsid w:val="238735C1"/>
    <w:rsid w:val="31DC17A0"/>
    <w:rsid w:val="47B64F65"/>
    <w:rsid w:val="4CB91BDD"/>
    <w:rsid w:val="53C438F2"/>
    <w:rsid w:val="56FF2E93"/>
    <w:rsid w:val="64246A4D"/>
    <w:rsid w:val="6D4644B4"/>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PlainText"/>
    <w:autoRedefine/>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PlainText">
    <w:name w:val="Plain Text"/>
    <w:basedOn w:val="Normal"/>
    <w:next w:val="Normal"/>
    <w:autoRedefine/>
    <w:qFormat/>
    <w:rPr>
      <w:rFonts w:ascii="宋体" w:eastAsia="仿宋_GB2312" w:hAnsi="Courier New"/>
      <w:szCs w:val="20"/>
    </w:rPr>
  </w:style>
  <w:style w:type="paragraph" w:styleId="BodyText">
    <w:name w:val="Body Text"/>
    <w:basedOn w:val="Normal"/>
    <w:next w:val="BodyText21"/>
    <w:autoRedefine/>
    <w:qFormat/>
  </w:style>
  <w:style w:type="paragraph" w:customStyle="1" w:styleId="BodyText21">
    <w:name w:val="Body Text 21"/>
    <w:basedOn w:val="Normal"/>
    <w:autoRedefine/>
    <w:qFormat/>
    <w:pPr>
      <w:spacing w:after="120" w:line="480" w:lineRule="auto"/>
    </w:pPr>
    <w:rPr>
      <w:rFonts w:eastAsia="仿宋_GB2312"/>
      <w:sz w:val="32"/>
      <w:szCs w:val="32"/>
    </w:rPr>
  </w:style>
  <w:style w:type="paragraph" w:styleId="Footer">
    <w:name w:val="footer"/>
    <w:basedOn w:val="Normal"/>
    <w:autoRedefine/>
    <w:qFormat/>
    <w:pPr>
      <w:widowControl w:val="0"/>
      <w:tabs>
        <w:tab w:val="center" w:pos="4153"/>
        <w:tab w:val="right" w:pos="8306"/>
      </w:tabs>
      <w:snapToGrid w:val="0"/>
      <w:jc w:val="left"/>
    </w:pPr>
    <w:rPr>
      <w:rFonts w:eastAsia="宋体" w:asciiTheme="minorHAnsi" w:hAnsiTheme="minorHAnsi" w:cstheme="minorBidi"/>
      <w:kern w:val="2"/>
      <w:sz w:val="18"/>
      <w:szCs w:val="22"/>
      <w:lang w:val="en-US" w:eastAsia="zh-CN"/>
    </w:rPr>
  </w:style>
  <w:style w:type="paragraph" w:styleId="NormalWeb">
    <w:name w:val="Normal (Web)"/>
    <w:basedOn w:val="Normal"/>
    <w:autoRedefine/>
    <w:qFormat/>
    <w:pPr>
      <w:spacing w:before="100" w:beforeAutospacing="1" w:after="100" w:afterAutospacing="1"/>
      <w:ind w:left="0" w:right="0"/>
      <w:jc w:val="left"/>
    </w:pPr>
    <w:rPr>
      <w:kern w:val="0"/>
      <w:sz w:val="24"/>
      <w:lang w:val="en-US" w:eastAsia="zh-CN" w:bidi="ar"/>
    </w:rPr>
  </w:style>
  <w:style w:type="paragraph" w:styleId="BodyTextFirstIndent">
    <w:name w:val="Body Text First Indent"/>
    <w:basedOn w:val="BodyText"/>
    <w:next w:val="Normal"/>
    <w:autoRedefine/>
    <w:qFormat/>
    <w:pPr>
      <w:spacing w:after="120"/>
      <w:ind w:firstLine="420" w:firstLineChars="100"/>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2841</Words>
  <Characters>2898</Characters>
  <Application>Microsoft Office Word</Application>
  <DocSecurity>0</DocSecurity>
  <Lines>0</Lines>
  <Paragraphs>0</Paragraphs>
  <ScaleCrop>false</ScaleCrop>
  <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1</cp:revision>
  <dcterms:created xsi:type="dcterms:W3CDTF">2024-03-06T04:53:00Z</dcterms:created>
  <dcterms:modified xsi:type="dcterms:W3CDTF">2025-03-27T03:31:10Z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176676A85E9546F9BA0270A27D628EA0_13</vt:lpwstr>
  </property>
  <property fmtid="{D5CDD505-2E9C-101B-9397-08002B2CF9AE}" pid="3" name="KSOProductBuildVer">
    <vt:lpwstr>2052-12.1.0.16729</vt:lpwstr>
  </property>
  <property fmtid="{D5CDD505-2E9C-101B-9397-08002B2CF9AE}" pid="4" name="KSOTemplateDocerSaveRecord">
    <vt:lpwstr>eyJoZGlkIjoiNWM2MjkxYzYwMmU3NDRlYjM0NTdjOGRkYjIzYjdiYjkiLCJ1c2VySWQiOiI5OTg1NDkzNjEifQ==</vt:lpwstr>
  </property>
</Properties>
</file>