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keepNext w:val="0"/>
        <w:keepLines w:val="0"/>
        <w:pageBreakBefore w:val="0"/>
        <w:widowControl w:val="0"/>
        <w:kinsoku/>
        <w:wordWrap/>
        <w:overflowPunct/>
        <w:topLinePunct w:val="0"/>
        <w:autoSpaceDE/>
        <w:autoSpaceDN/>
        <w:bidi w:val="0"/>
        <w:adjustRightInd/>
        <w:snapToGrid/>
        <w:spacing w:line="540" w:lineRule="exact"/>
        <w:ind w:left="0"/>
        <w:jc w:val="center"/>
        <w:textAlignment w:val="auto"/>
        <w:outlineLvl w:val="9"/>
        <w:rPr>
          <w:rFonts w:ascii="方正小标宋简体" w:eastAsia="方正小标宋简体" w:hAnsi="方正小标宋简体" w:cs="方正小标宋简体" w:hint="eastAsia"/>
          <w:b w:val="0"/>
          <w:bCs w:val="0"/>
          <w:color w:val="auto"/>
          <w:sz w:val="44"/>
          <w:szCs w:val="44"/>
          <w:highlight w:val="none"/>
          <w:shd w:val="clear" w:color="auto" w:fill="auto"/>
          <w:lang w:val="en-US" w:eastAsia="zh-CN"/>
        </w:rPr>
      </w:pPr>
      <w:r>
        <w:rPr>
          <w:rFonts w:ascii="方正小标宋简体" w:eastAsia="方正小标宋简体" w:hAnsi="方正小标宋简体" w:cs="方正小标宋简体" w:hint="eastAsia"/>
          <w:b w:val="0"/>
          <w:bCs w:val="0"/>
          <w:color w:val="auto"/>
          <w:sz w:val="44"/>
          <w:szCs w:val="44"/>
          <w:highlight w:val="none"/>
          <w:shd w:val="clear" w:color="auto" w:fill="auto"/>
        </w:rPr>
        <w:t>乌苏市</w:t>
      </w:r>
      <w:r>
        <w:rPr>
          <w:rFonts w:ascii="方正小标宋简体" w:eastAsia="方正小标宋简体" w:hAnsi="方正小标宋简体" w:cs="方正小标宋简体" w:hint="eastAsia"/>
          <w:b w:val="0"/>
          <w:bCs w:val="0"/>
          <w:color w:val="auto"/>
          <w:sz w:val="44"/>
          <w:szCs w:val="44"/>
          <w:highlight w:val="none"/>
          <w:shd w:val="clear" w:color="auto" w:fill="auto"/>
          <w:lang w:val="en-US" w:eastAsia="zh-CN"/>
        </w:rPr>
        <w:t>塔布勒合特蒙古民族乡</w:t>
      </w:r>
      <w:r>
        <w:rPr>
          <w:rFonts w:ascii="方正小标宋简体" w:eastAsia="方正小标宋简体" w:hAnsi="方正小标宋简体" w:cs="方正小标宋简体" w:hint="eastAsia"/>
          <w:b w:val="0"/>
          <w:bCs w:val="0"/>
          <w:color w:val="auto"/>
          <w:sz w:val="44"/>
          <w:szCs w:val="44"/>
          <w:highlight w:val="none"/>
          <w:shd w:val="clear" w:color="auto" w:fill="auto"/>
        </w:rPr>
        <w:t>法治</w:t>
      </w:r>
      <w:r>
        <w:rPr>
          <w:rFonts w:ascii="方正小标宋简体" w:eastAsia="方正小标宋简体" w:hAnsi="方正小标宋简体" w:cs="方正小标宋简体" w:hint="eastAsia"/>
          <w:b w:val="0"/>
          <w:bCs w:val="0"/>
          <w:color w:val="auto"/>
          <w:sz w:val="44"/>
          <w:szCs w:val="44"/>
          <w:highlight w:val="none"/>
          <w:shd w:val="clear" w:color="auto" w:fill="auto"/>
          <w:lang w:eastAsia="zh-CN"/>
        </w:rPr>
        <w:t>政府</w:t>
      </w:r>
      <w:r>
        <w:rPr>
          <w:rFonts w:ascii="方正小标宋简体" w:eastAsia="方正小标宋简体" w:hAnsi="方正小标宋简体" w:cs="方正小标宋简体" w:hint="eastAsia"/>
          <w:b w:val="0"/>
          <w:bCs w:val="0"/>
          <w:color w:val="auto"/>
          <w:sz w:val="44"/>
          <w:szCs w:val="44"/>
          <w:highlight w:val="none"/>
          <w:shd w:val="clear" w:color="auto" w:fill="auto"/>
        </w:rPr>
        <w:t>建设</w:t>
      </w:r>
      <w:r>
        <w:rPr>
          <w:rFonts w:ascii="方正小标宋简体" w:eastAsia="方正小标宋简体" w:hAnsi="方正小标宋简体" w:cs="方正小标宋简体" w:hint="eastAsia"/>
          <w:b w:val="0"/>
          <w:bCs w:val="0"/>
          <w:color w:val="auto"/>
          <w:sz w:val="44"/>
          <w:szCs w:val="44"/>
          <w:highlight w:val="none"/>
          <w:shd w:val="clear" w:color="auto" w:fill="auto"/>
          <w:lang w:val="en-US" w:eastAsia="zh-CN"/>
        </w:rPr>
        <w:t>工作总结</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eastAsia="仿宋_GB2312" w:hAnsi="仿宋_GB2312" w:cs="仿宋_GB2312" w:hint="eastAsia"/>
          <w:color w:val="auto"/>
          <w:sz w:val="32"/>
          <w:szCs w:val="32"/>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eastAsia="仿宋_GB2312" w:hAnsi="仿宋_GB2312" w:cs="仿宋_GB2312" w:hint="eastAsia"/>
          <w:color w:val="auto"/>
          <w:sz w:val="32"/>
          <w:szCs w:val="32"/>
          <w:highlight w:val="none"/>
          <w:shd w:val="clear" w:color="auto" w:fill="auto"/>
        </w:rPr>
      </w:pPr>
      <w:r>
        <w:rPr>
          <w:rFonts w:ascii="仿宋_GB2312" w:eastAsia="仿宋_GB2312" w:hAnsi="仿宋_GB2312" w:cs="仿宋_GB2312" w:hint="eastAsia"/>
          <w:color w:val="auto"/>
          <w:sz w:val="32"/>
          <w:szCs w:val="32"/>
          <w:highlight w:val="none"/>
          <w:shd w:val="clear" w:color="auto" w:fill="auto"/>
        </w:rPr>
        <w:t>202</w:t>
      </w:r>
      <w:r>
        <w:rPr>
          <w:rFonts w:ascii="仿宋_GB2312" w:eastAsia="仿宋_GB2312" w:hAnsi="仿宋_GB2312" w:cs="仿宋_GB2312" w:hint="eastAsia"/>
          <w:color w:val="auto"/>
          <w:sz w:val="32"/>
          <w:szCs w:val="32"/>
          <w:highlight w:val="none"/>
          <w:shd w:val="clear" w:color="auto" w:fill="auto"/>
          <w:lang w:val="en-US" w:eastAsia="zh-CN"/>
        </w:rPr>
        <w:t>4</w:t>
      </w:r>
      <w:r>
        <w:rPr>
          <w:rFonts w:ascii="仿宋_GB2312" w:eastAsia="仿宋_GB2312" w:hAnsi="仿宋_GB2312" w:cs="仿宋_GB2312" w:hint="eastAsia"/>
          <w:color w:val="auto"/>
          <w:sz w:val="32"/>
          <w:szCs w:val="32"/>
          <w:highlight w:val="none"/>
          <w:shd w:val="clear" w:color="auto" w:fill="auto"/>
        </w:rPr>
        <w:t>年在市委</w:t>
      </w:r>
      <w:r>
        <w:rPr>
          <w:rFonts w:ascii="仿宋_GB2312" w:eastAsia="仿宋_GB2312" w:hAnsi="仿宋_GB2312" w:cs="仿宋_GB2312" w:hint="eastAsia"/>
          <w:color w:val="auto"/>
          <w:sz w:val="32"/>
          <w:szCs w:val="32"/>
          <w:highlight w:val="none"/>
          <w:shd w:val="clear" w:color="auto" w:fill="auto"/>
          <w:lang w:eastAsia="zh-CN"/>
        </w:rPr>
        <w:t>、市</w:t>
      </w:r>
      <w:r>
        <w:rPr>
          <w:rFonts w:ascii="仿宋_GB2312" w:eastAsia="仿宋_GB2312" w:hAnsi="仿宋_GB2312" w:cs="仿宋_GB2312" w:hint="eastAsia"/>
          <w:color w:val="auto"/>
          <w:sz w:val="32"/>
          <w:szCs w:val="32"/>
          <w:highlight w:val="none"/>
          <w:shd w:val="clear" w:color="auto" w:fill="auto"/>
        </w:rPr>
        <w:t>政府的坚强领导下，塔布勒合特蒙古民族乡深入学习贯彻党的二十大</w:t>
      </w:r>
      <w:r>
        <w:rPr>
          <w:rFonts w:ascii="仿宋_GB2312" w:eastAsia="仿宋_GB2312" w:hAnsi="仿宋_GB2312" w:cs="仿宋_GB2312" w:hint="eastAsia"/>
          <w:color w:val="auto"/>
          <w:sz w:val="32"/>
          <w:szCs w:val="32"/>
          <w:highlight w:val="none"/>
          <w:shd w:val="clear" w:color="auto" w:fill="auto"/>
          <w:lang w:eastAsia="zh-CN"/>
        </w:rPr>
        <w:t>、党的二十届三中全会</w:t>
      </w:r>
      <w:r>
        <w:rPr>
          <w:rFonts w:ascii="仿宋_GB2312" w:eastAsia="仿宋_GB2312" w:hAnsi="仿宋_GB2312" w:cs="仿宋_GB2312" w:hint="eastAsia"/>
          <w:color w:val="auto"/>
          <w:sz w:val="32"/>
          <w:szCs w:val="32"/>
          <w:highlight w:val="none"/>
          <w:shd w:val="clear" w:color="auto" w:fill="auto"/>
        </w:rPr>
        <w:t>精神，以习近平新时代中国特色社会主义思想为指导，全面把握习近平法治思想的重要内涵，认真落实</w:t>
      </w:r>
      <w:r>
        <w:rPr>
          <w:rFonts w:ascii="仿宋_GB2312" w:eastAsia="仿宋_GB2312" w:hAnsi="仿宋_GB2312" w:cs="仿宋_GB2312" w:hint="eastAsia"/>
          <w:color w:val="auto"/>
          <w:sz w:val="32"/>
          <w:szCs w:val="32"/>
          <w:highlight w:val="none"/>
          <w:shd w:val="clear" w:color="auto" w:fill="auto"/>
          <w:lang w:eastAsia="zh-CN"/>
        </w:rPr>
        <w:t>《法治政府建设实施纲要（2021—2025年）》</w:t>
      </w:r>
      <w:r>
        <w:rPr>
          <w:rFonts w:ascii="仿宋_GB2312" w:eastAsia="仿宋_GB2312" w:hAnsi="仿宋_GB2312" w:cs="仿宋_GB2312" w:hint="eastAsia"/>
          <w:color w:val="auto"/>
          <w:sz w:val="32"/>
          <w:szCs w:val="32"/>
          <w:highlight w:val="none"/>
          <w:shd w:val="clear" w:color="auto" w:fill="auto"/>
        </w:rPr>
        <w:t>，全力推进法治政府建设，现将工作情况报告如下：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eastAsia="仿宋_GB2312" w:hAnsi="仿宋_GB2312" w:cs="仿宋_GB2312" w:hint="eastAsia"/>
          <w:color w:val="auto"/>
          <w:sz w:val="32"/>
          <w:szCs w:val="32"/>
          <w:highlight w:val="none"/>
          <w:shd w:val="clear" w:color="auto" w:fill="auto"/>
        </w:rPr>
      </w:pPr>
      <w:r>
        <w:rPr>
          <w:rFonts w:ascii="黑体" w:eastAsia="黑体" w:hAnsi="黑体" w:cs="黑体" w:hint="eastAsia"/>
          <w:color w:val="auto"/>
          <w:sz w:val="32"/>
          <w:szCs w:val="32"/>
          <w:highlight w:val="none"/>
          <w:shd w:val="clear" w:color="auto" w:fill="auto"/>
        </w:rPr>
        <w:t>一、</w:t>
      </w:r>
      <w:r>
        <w:rPr>
          <w:rFonts w:ascii="黑体" w:eastAsia="黑体" w:hAnsi="黑体" w:cs="黑体" w:hint="eastAsia"/>
          <w:color w:val="auto"/>
          <w:sz w:val="32"/>
          <w:szCs w:val="32"/>
          <w:highlight w:val="none"/>
          <w:shd w:val="clear" w:color="auto" w:fill="auto"/>
          <w:lang w:val="en-US" w:eastAsia="zh-CN"/>
        </w:rPr>
        <w:t>2024年法治政府建设情况</w:t>
      </w:r>
    </w:p>
    <w:p>
      <w:pPr>
        <w:keepNext w:val="0"/>
        <w:keepLines w:val="0"/>
        <w:pageBreakBefore w:val="0"/>
        <w:widowControl w:val="0"/>
        <w:kinsoku/>
        <w:wordWrap/>
        <w:overflowPunct/>
        <w:topLinePunct w:val="0"/>
        <w:autoSpaceDE/>
        <w:autoSpaceDN/>
        <w:bidi w:val="0"/>
        <w:adjustRightInd/>
        <w:snapToGrid/>
        <w:spacing w:line="540" w:lineRule="exact"/>
        <w:ind w:firstLine="320" w:firstLineChars="100"/>
        <w:textAlignment w:val="auto"/>
        <w:rPr>
          <w:rFonts w:ascii="楷体_GB2312" w:eastAsia="楷体_GB2312" w:hAnsi="楷体_GB2312" w:cs="楷体_GB2312" w:hint="eastAsia"/>
          <w:color w:val="auto"/>
          <w:sz w:val="32"/>
          <w:szCs w:val="32"/>
          <w:highlight w:val="none"/>
          <w:shd w:val="clear" w:color="auto" w:fill="auto"/>
        </w:rPr>
      </w:pPr>
      <w:r>
        <w:rPr>
          <w:rFonts w:ascii="楷体_GB2312" w:eastAsia="楷体_GB2312" w:hAnsi="楷体_GB2312" w:cs="楷体_GB2312" w:hint="eastAsia"/>
          <w:color w:val="auto"/>
          <w:sz w:val="32"/>
          <w:szCs w:val="32"/>
          <w:highlight w:val="none"/>
          <w:shd w:val="clear" w:color="auto" w:fill="auto"/>
        </w:rPr>
        <w:t>（一）</w:t>
      </w:r>
      <w:r>
        <w:rPr>
          <w:rFonts w:ascii="楷体_GB2312" w:eastAsia="楷体_GB2312" w:hAnsi="楷体_GB2312" w:cs="楷体_GB2312" w:hint="eastAsia"/>
          <w:i w:val="0"/>
          <w:caps w:val="0"/>
          <w:color w:val="auto"/>
          <w:spacing w:val="0"/>
          <w:sz w:val="32"/>
          <w:szCs w:val="32"/>
          <w:highlight w:val="none"/>
          <w:shd w:val="clear" w:color="auto" w:fill="auto"/>
        </w:rPr>
        <w:t>坚持学习习近平法治思想，</w:t>
      </w:r>
      <w:r>
        <w:rPr>
          <w:rFonts w:ascii="楷体_GB2312" w:eastAsia="楷体_GB2312" w:hAnsi="楷体_GB2312" w:cs="楷体_GB2312" w:hint="eastAsia"/>
          <w:i w:val="0"/>
          <w:caps w:val="0"/>
          <w:color w:val="auto"/>
          <w:spacing w:val="0"/>
          <w:sz w:val="32"/>
          <w:szCs w:val="32"/>
          <w:highlight w:val="none"/>
          <w:shd w:val="clear" w:color="auto" w:fill="auto"/>
          <w:lang w:val="en-US" w:eastAsia="zh-CN"/>
        </w:rPr>
        <w:t>推进法治政府建设工作。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eastAsia="仿宋_GB2312" w:hAnsi="仿宋_GB2312" w:cs="仿宋_GB2312" w:hint="eastAsia"/>
          <w:color w:val="auto"/>
          <w:sz w:val="32"/>
          <w:szCs w:val="32"/>
          <w:highlight w:val="none"/>
          <w:shd w:val="clear" w:color="auto" w:fill="auto"/>
        </w:rPr>
      </w:pPr>
      <w:r>
        <w:rPr>
          <w:rFonts w:ascii="仿宋_GB2312" w:eastAsia="仿宋_GB2312" w:hAnsi="仿宋_GB2312" w:cs="仿宋_GB2312" w:hint="eastAsia"/>
          <w:b/>
          <w:bCs/>
          <w:color w:val="auto"/>
          <w:sz w:val="32"/>
          <w:szCs w:val="32"/>
          <w:highlight w:val="none"/>
          <w:shd w:val="clear" w:color="auto" w:fill="auto"/>
          <w:lang w:val="en-US" w:eastAsia="zh-CN"/>
        </w:rPr>
        <w:t>一是</w:t>
      </w:r>
      <w:r>
        <w:rPr>
          <w:rFonts w:ascii="仿宋_GB2312" w:eastAsia="仿宋_GB2312" w:hAnsi="仿宋_GB2312" w:cs="仿宋_GB2312" w:hint="eastAsia"/>
          <w:color w:val="auto"/>
          <w:sz w:val="32"/>
          <w:szCs w:val="32"/>
          <w:highlight w:val="none"/>
          <w:shd w:val="clear" w:color="auto" w:fill="auto"/>
        </w:rPr>
        <w:t>深入贯彻习近平法治思想</w:t>
      </w:r>
      <w:r>
        <w:rPr>
          <w:rFonts w:ascii="仿宋_GB2312" w:eastAsia="仿宋_GB2312" w:hAnsi="仿宋_GB2312" w:cs="仿宋_GB2312" w:hint="eastAsia"/>
          <w:color w:val="auto"/>
          <w:sz w:val="32"/>
          <w:szCs w:val="32"/>
          <w:highlight w:val="none"/>
          <w:shd w:val="clear" w:color="auto" w:fill="auto"/>
          <w:lang w:eastAsia="zh-CN"/>
        </w:rPr>
        <w:t>，把</w:t>
      </w:r>
      <w:r>
        <w:rPr>
          <w:rFonts w:ascii="仿宋_GB2312" w:eastAsia="仿宋_GB2312" w:hAnsi="仿宋_GB2312" w:cs="仿宋_GB2312" w:hint="eastAsia"/>
          <w:color w:val="auto"/>
          <w:sz w:val="32"/>
          <w:szCs w:val="32"/>
          <w:highlight w:val="none"/>
          <w:shd w:val="clear" w:color="auto" w:fill="auto"/>
        </w:rPr>
        <w:t>习近平法治思想</w:t>
      </w:r>
      <w:r>
        <w:rPr>
          <w:rFonts w:ascii="仿宋_GB2312" w:eastAsia="仿宋_GB2312" w:hAnsi="仿宋_GB2312" w:cs="仿宋_GB2312" w:hint="eastAsia"/>
          <w:color w:val="auto"/>
          <w:sz w:val="32"/>
          <w:szCs w:val="32"/>
          <w:highlight w:val="none"/>
          <w:shd w:val="clear" w:color="auto" w:fill="auto"/>
          <w:lang w:eastAsia="zh-CN"/>
        </w:rPr>
        <w:t>纳入</w:t>
      </w:r>
      <w:r>
        <w:rPr>
          <w:rFonts w:ascii="仿宋_GB2312" w:eastAsia="仿宋_GB2312" w:hAnsi="仿宋_GB2312" w:cs="仿宋_GB2312" w:hint="eastAsia"/>
          <w:color w:val="auto"/>
          <w:sz w:val="32"/>
          <w:szCs w:val="32"/>
          <w:highlight w:val="none"/>
          <w:shd w:val="clear" w:color="auto" w:fill="auto"/>
        </w:rPr>
        <w:t>全体党员干部的必修内容。</w:t>
      </w:r>
      <w:r>
        <w:rPr>
          <w:rFonts w:ascii="Times New Roman" w:eastAsia="仿宋_GB2312" w:hAnsi="Times New Roman" w:cs="Times New Roman" w:hint="eastAsia"/>
          <w:color w:val="auto"/>
          <w:sz w:val="32"/>
          <w:szCs w:val="32"/>
          <w:highlight w:val="none"/>
          <w:shd w:val="clear" w:color="auto" w:fill="auto"/>
          <w:lang w:val="en-US" w:eastAsia="zh-CN"/>
        </w:rPr>
        <w:t>全年党政领导讲授习近平法治思想专题法治课3次，开展党委中心组、干部理论学习5场次，</w:t>
      </w:r>
      <w:r>
        <w:rPr>
          <w:rFonts w:ascii="仿宋_GB2312" w:eastAsia="仿宋_GB2312" w:hAnsi="仿宋_GB2312" w:cs="仿宋_GB2312" w:hint="eastAsia"/>
          <w:color w:val="auto"/>
          <w:sz w:val="32"/>
          <w:szCs w:val="32"/>
          <w:highlight w:val="none"/>
          <w:shd w:val="clear" w:color="auto" w:fill="auto"/>
        </w:rPr>
        <w:t>组织“法律明白人</w:t>
      </w:r>
      <w:r>
        <w:rPr>
          <w:rFonts w:ascii="仿宋_GB2312" w:eastAsia="仿宋_GB2312" w:hAnsi="仿宋_GB2312" w:cs="仿宋_GB2312" w:hint="eastAsia"/>
          <w:color w:val="auto"/>
          <w:sz w:val="32"/>
          <w:szCs w:val="32"/>
          <w:highlight w:val="none"/>
          <w:shd w:val="clear" w:color="auto" w:fill="auto"/>
          <w:lang w:eastAsia="zh-CN"/>
        </w:rPr>
        <w:t>”“</w:t>
      </w:r>
      <w:r>
        <w:rPr>
          <w:rFonts w:ascii="仿宋_GB2312" w:eastAsia="仿宋_GB2312" w:hAnsi="仿宋_GB2312" w:cs="仿宋_GB2312" w:hint="eastAsia"/>
          <w:color w:val="auto"/>
          <w:sz w:val="32"/>
          <w:szCs w:val="32"/>
          <w:highlight w:val="none"/>
          <w:shd w:val="clear" w:color="auto" w:fill="auto"/>
        </w:rPr>
        <w:t>农村学法用法示范户”专题培训习近平法治思想56人次，有效推动了法治思想在全乡</w:t>
      </w:r>
      <w:r>
        <w:rPr>
          <w:rFonts w:ascii="仿宋_GB2312" w:eastAsia="仿宋_GB2312" w:hAnsi="仿宋_GB2312" w:cs="仿宋_GB2312" w:hint="eastAsia"/>
          <w:color w:val="auto"/>
          <w:sz w:val="32"/>
          <w:szCs w:val="32"/>
          <w:highlight w:val="none"/>
          <w:shd w:val="clear" w:color="auto" w:fill="auto"/>
          <w:lang w:eastAsia="zh-CN"/>
        </w:rPr>
        <w:t>入脑入心</w:t>
      </w:r>
      <w:r>
        <w:rPr>
          <w:rFonts w:ascii="仿宋_GB2312" w:eastAsia="仿宋_GB2312" w:hAnsi="仿宋_GB2312" w:cs="仿宋_GB2312" w:hint="eastAsia"/>
          <w:color w:val="auto"/>
          <w:sz w:val="32"/>
          <w:szCs w:val="32"/>
          <w:highlight w:val="none"/>
          <w:shd w:val="clear" w:color="auto" w:fill="auto"/>
        </w:rPr>
        <w:t>。</w:t>
      </w:r>
      <w:r>
        <w:rPr>
          <w:rFonts w:ascii="仿宋_GB2312" w:eastAsia="仿宋_GB2312" w:hAnsi="仿宋_GB2312" w:cs="仿宋_GB2312" w:hint="eastAsia"/>
          <w:b/>
          <w:bCs/>
          <w:color w:val="auto"/>
          <w:sz w:val="32"/>
          <w:szCs w:val="32"/>
          <w:highlight w:val="none"/>
          <w:shd w:val="clear" w:color="auto" w:fill="auto"/>
          <w:lang w:val="en-US" w:eastAsia="zh-CN"/>
        </w:rPr>
        <w:t>二是</w:t>
      </w:r>
      <w:r>
        <w:rPr>
          <w:rFonts w:ascii="仿宋_GB2312" w:eastAsia="仿宋_GB2312" w:hAnsi="仿宋_GB2312" w:cs="仿宋_GB2312" w:hint="eastAsia"/>
          <w:b w:val="0"/>
          <w:bCs w:val="0"/>
          <w:color w:val="auto"/>
          <w:sz w:val="32"/>
          <w:szCs w:val="32"/>
          <w:highlight w:val="none"/>
          <w:shd w:val="clear" w:color="auto" w:fill="auto"/>
          <w:lang w:val="en-US" w:eastAsia="zh-CN"/>
        </w:rPr>
        <w:t>扎实开展</w:t>
      </w:r>
      <w:r>
        <w:rPr>
          <w:rFonts w:ascii="仿宋_GB2312" w:eastAsia="仿宋_GB2312" w:hAnsi="仿宋_GB2312" w:cs="仿宋_GB2312" w:hint="eastAsia"/>
          <w:b w:val="0"/>
          <w:bCs w:val="0"/>
          <w:color w:val="auto"/>
          <w:sz w:val="32"/>
          <w:szCs w:val="32"/>
          <w:highlight w:val="none"/>
          <w:shd w:val="clear" w:color="auto" w:fill="auto"/>
        </w:rPr>
        <w:t>宪法学习宣传</w:t>
      </w:r>
      <w:r>
        <w:rPr>
          <w:rFonts w:ascii="仿宋_GB2312" w:eastAsia="仿宋_GB2312" w:hAnsi="仿宋_GB2312" w:cs="仿宋_GB2312" w:hint="eastAsia"/>
          <w:b w:val="0"/>
          <w:bCs w:val="0"/>
          <w:color w:val="auto"/>
          <w:sz w:val="32"/>
          <w:szCs w:val="32"/>
          <w:highlight w:val="none"/>
          <w:shd w:val="clear" w:color="auto" w:fill="auto"/>
          <w:lang w:eastAsia="zh-CN"/>
        </w:rPr>
        <w:t>。</w:t>
      </w:r>
      <w:r>
        <w:rPr>
          <w:rFonts w:ascii="仿宋_GB2312" w:eastAsia="仿宋_GB2312" w:hAnsi="仿宋_GB2312" w:cs="仿宋_GB2312" w:hint="eastAsia"/>
          <w:color w:val="auto"/>
          <w:sz w:val="32"/>
          <w:szCs w:val="32"/>
          <w:highlight w:val="none"/>
          <w:shd w:val="clear" w:color="auto" w:fill="auto"/>
        </w:rPr>
        <w:t>组织党员干部集中学习宪法2次，领导干部宪法宣誓1次，开展“法润天山·国旗下普法”活动36场次，覆盖干部群众8000余人次，有效提升了宪法宣传的覆盖面和影响力</w:t>
      </w:r>
      <w:r>
        <w:rPr>
          <w:rFonts w:ascii="仿宋_GB2312" w:eastAsia="仿宋_GB2312" w:hAnsi="仿宋_GB2312" w:cs="仿宋_GB2312" w:hint="eastAsia"/>
          <w:color w:val="auto"/>
          <w:sz w:val="32"/>
          <w:szCs w:val="32"/>
          <w:highlight w:val="none"/>
          <w:shd w:val="clear" w:color="auto" w:fill="auto"/>
          <w:lang w:eastAsia="zh-CN"/>
        </w:rPr>
        <w:t>，</w:t>
      </w:r>
      <w:r>
        <w:rPr>
          <w:rFonts w:ascii="仿宋_GB2312" w:eastAsia="仿宋_GB2312" w:hAnsi="仿宋_GB2312" w:cs="仿宋_GB2312" w:hint="eastAsia"/>
          <w:color w:val="auto"/>
          <w:sz w:val="32"/>
          <w:szCs w:val="32"/>
          <w:highlight w:val="none"/>
          <w:shd w:val="clear" w:color="auto" w:fill="auto"/>
        </w:rPr>
        <w:t>组织44名机关工作人员参加“法宣在线”考试，年度学法合格率100％</w:t>
      </w:r>
      <w:r>
        <w:rPr>
          <w:rFonts w:ascii="仿宋_GB2312" w:eastAsia="仿宋_GB2312" w:hAnsi="仿宋_GB2312" w:cs="仿宋_GB2312" w:hint="eastAsia"/>
          <w:color w:val="auto"/>
          <w:sz w:val="32"/>
          <w:szCs w:val="32"/>
          <w:highlight w:val="none"/>
          <w:shd w:val="clear" w:color="auto" w:fill="auto"/>
          <w:lang w:eastAsia="zh-CN"/>
        </w:rPr>
        <w:t>。</w:t>
      </w:r>
      <w:r>
        <w:rPr>
          <w:rFonts w:ascii="仿宋_GB2312" w:eastAsia="仿宋_GB2312" w:hAnsi="仿宋_GB2312" w:cs="仿宋_GB2312" w:hint="eastAsia"/>
          <w:b/>
          <w:bCs/>
          <w:color w:val="auto"/>
          <w:sz w:val="32"/>
          <w:szCs w:val="32"/>
          <w:highlight w:val="none"/>
          <w:shd w:val="clear" w:color="auto" w:fill="auto"/>
          <w:lang w:val="en-US" w:eastAsia="zh-CN"/>
        </w:rPr>
        <w:t>三是</w:t>
      </w:r>
      <w:r>
        <w:rPr>
          <w:rFonts w:ascii="仿宋_GB2312" w:eastAsia="仿宋_GB2312" w:hAnsi="仿宋_GB2312" w:cs="仿宋_GB2312" w:hint="eastAsia"/>
          <w:color w:val="auto"/>
          <w:sz w:val="32"/>
          <w:szCs w:val="32"/>
          <w:highlight w:val="none"/>
          <w:shd w:val="clear" w:color="auto" w:fill="auto"/>
        </w:rPr>
        <w:t>干部学法用法常态化</w:t>
      </w:r>
      <w:r>
        <w:rPr>
          <w:rFonts w:ascii="仿宋_GB2312" w:eastAsia="仿宋_GB2312" w:hAnsi="仿宋_GB2312" w:cs="仿宋_GB2312" w:hint="eastAsia"/>
          <w:color w:val="auto"/>
          <w:sz w:val="32"/>
          <w:szCs w:val="32"/>
          <w:highlight w:val="none"/>
          <w:shd w:val="clear" w:color="auto" w:fill="auto"/>
          <w:lang w:eastAsia="zh-CN"/>
        </w:rPr>
        <w:t>。</w:t>
      </w:r>
      <w:r>
        <w:rPr>
          <w:rFonts w:ascii="仿宋_GB2312" w:eastAsia="仿宋_GB2312" w:hAnsi="仿宋_GB2312" w:cs="仿宋_GB2312" w:hint="eastAsia"/>
          <w:color w:val="auto"/>
          <w:sz w:val="32"/>
          <w:szCs w:val="32"/>
          <w:highlight w:val="none"/>
          <w:shd w:val="clear" w:color="auto" w:fill="auto"/>
        </w:rPr>
        <w:t>始终将法治理论学习摆在重要位置，</w:t>
      </w:r>
      <w:r>
        <w:rPr>
          <w:rFonts w:ascii="仿宋_GB2312" w:eastAsia="仿宋_GB2312" w:hAnsi="仿宋_GB2312" w:cs="仿宋_GB2312" w:hint="eastAsia"/>
          <w:color w:val="auto"/>
          <w:sz w:val="32"/>
          <w:szCs w:val="32"/>
          <w:highlight w:val="none"/>
          <w:shd w:val="clear" w:color="auto" w:fill="auto"/>
          <w:lang w:eastAsia="zh-CN"/>
        </w:rPr>
        <w:t>建立</w:t>
      </w:r>
      <w:r>
        <w:rPr>
          <w:rFonts w:ascii="仿宋_GB2312" w:eastAsia="仿宋_GB2312" w:hAnsi="仿宋_GB2312" w:cs="仿宋_GB2312" w:hint="eastAsia"/>
          <w:color w:val="auto"/>
          <w:sz w:val="32"/>
          <w:szCs w:val="32"/>
          <w:highlight w:val="none"/>
          <w:shd w:val="clear" w:color="auto" w:fill="auto"/>
        </w:rPr>
        <w:t>领导干部学法用法制度。今年以来，已利用干部理论学习日组织党员干部学习法律法规15次，观看庭审现场直播</w:t>
      </w:r>
      <w:r>
        <w:rPr>
          <w:rFonts w:ascii="仿宋_GB2312" w:eastAsia="仿宋_GB2312" w:hAnsi="仿宋_GB2312" w:cs="仿宋_GB2312" w:hint="eastAsia"/>
          <w:color w:val="auto"/>
          <w:sz w:val="32"/>
          <w:szCs w:val="32"/>
          <w:highlight w:val="none"/>
          <w:shd w:val="clear" w:color="auto" w:fill="auto"/>
          <w:lang w:val="en-US" w:eastAsia="zh-CN"/>
        </w:rPr>
        <w:t>2</w:t>
      </w:r>
      <w:r>
        <w:rPr>
          <w:rFonts w:ascii="仿宋_GB2312" w:eastAsia="仿宋_GB2312" w:hAnsi="仿宋_GB2312" w:cs="仿宋_GB2312" w:hint="eastAsia"/>
          <w:color w:val="auto"/>
          <w:sz w:val="32"/>
          <w:szCs w:val="32"/>
          <w:highlight w:val="none"/>
          <w:shd w:val="clear" w:color="auto" w:fill="auto"/>
        </w:rPr>
        <w:t>次，有效提升了干部的法律素养和依法行政能力。</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eastAsia="仿宋_GB2312" w:hAnsi="仿宋_GB2312" w:cs="仿宋_GB2312" w:hint="eastAsia"/>
          <w:color w:val="auto"/>
          <w:sz w:val="32"/>
          <w:szCs w:val="32"/>
          <w:highlight w:val="none"/>
          <w:shd w:val="clear" w:color="auto" w:fill="auto"/>
        </w:rPr>
      </w:pPr>
      <w:r>
        <w:rPr>
          <w:rFonts w:ascii="楷体" w:eastAsia="楷体" w:hAnsi="楷体" w:cs="楷体" w:hint="eastAsia"/>
          <w:color w:val="auto"/>
          <w:sz w:val="32"/>
          <w:szCs w:val="32"/>
          <w:highlight w:val="none"/>
          <w:shd w:val="clear" w:color="auto" w:fill="auto"/>
        </w:rPr>
        <w:t>（二）加强党的政治建设，发挥领导核心作用</w:t>
      </w:r>
      <w:r>
        <w:rPr>
          <w:rFonts w:ascii="仿宋_GB2312" w:eastAsia="仿宋_GB2312" w:hAnsi="仿宋_GB2312" w:cs="仿宋_GB2312" w:hint="eastAsia"/>
          <w:color w:val="auto"/>
          <w:sz w:val="32"/>
          <w:szCs w:val="32"/>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eastAsia="仿宋_GB2312" w:hAnsi="仿宋_GB2312" w:cs="仿宋_GB2312" w:hint="eastAsia"/>
          <w:color w:val="auto"/>
          <w:sz w:val="32"/>
          <w:szCs w:val="32"/>
          <w:highlight w:val="none"/>
          <w:shd w:val="clear" w:color="auto" w:fill="auto"/>
        </w:rPr>
      </w:pPr>
      <w:r>
        <w:rPr>
          <w:rFonts w:ascii="仿宋_GB2312" w:eastAsia="仿宋_GB2312" w:hAnsi="仿宋_GB2312" w:cs="仿宋_GB2312" w:hint="eastAsia"/>
          <w:b/>
          <w:bCs/>
          <w:color w:val="auto"/>
          <w:sz w:val="32"/>
          <w:szCs w:val="32"/>
          <w:highlight w:val="none"/>
          <w:shd w:val="clear" w:color="auto" w:fill="auto"/>
        </w:rPr>
        <w:t>一是</w:t>
      </w:r>
      <w:r>
        <w:rPr>
          <w:rFonts w:ascii="仿宋_GB2312" w:eastAsia="仿宋_GB2312" w:hAnsi="仿宋_GB2312" w:cs="仿宋_GB2312" w:hint="eastAsia"/>
          <w:color w:val="auto"/>
          <w:sz w:val="32"/>
          <w:szCs w:val="32"/>
          <w:highlight w:val="none"/>
          <w:shd w:val="clear" w:color="auto" w:fill="auto"/>
        </w:rPr>
        <w:t>将法治</w:t>
      </w:r>
      <w:r>
        <w:rPr>
          <w:rFonts w:ascii="仿宋_GB2312" w:eastAsia="仿宋_GB2312" w:hAnsi="仿宋_GB2312" w:cs="仿宋_GB2312" w:hint="eastAsia"/>
          <w:color w:val="auto"/>
          <w:sz w:val="32"/>
          <w:szCs w:val="32"/>
          <w:highlight w:val="none"/>
          <w:shd w:val="clear" w:color="auto" w:fill="auto"/>
          <w:lang w:val="en-US" w:eastAsia="zh-CN"/>
        </w:rPr>
        <w:t>政府</w:t>
      </w:r>
      <w:r>
        <w:rPr>
          <w:rFonts w:ascii="仿宋_GB2312" w:eastAsia="仿宋_GB2312" w:hAnsi="仿宋_GB2312" w:cs="仿宋_GB2312" w:hint="eastAsia"/>
          <w:color w:val="auto"/>
          <w:sz w:val="32"/>
          <w:szCs w:val="32"/>
          <w:highlight w:val="none"/>
          <w:shd w:val="clear" w:color="auto" w:fill="auto"/>
        </w:rPr>
        <w:t>建设纳入乡发展总体规划和年度工作计划。组织召开法治建设专题会议3次，及时研究解决法治建设难题，确保各项法治工作有序开展。</w:t>
      </w:r>
      <w:r>
        <w:rPr>
          <w:rFonts w:ascii="仿宋_GB2312" w:eastAsia="仿宋_GB2312" w:hAnsi="仿宋_GB2312" w:cs="仿宋_GB2312" w:hint="eastAsia"/>
          <w:b/>
          <w:bCs/>
          <w:color w:val="auto"/>
          <w:sz w:val="32"/>
          <w:szCs w:val="32"/>
          <w:highlight w:val="none"/>
          <w:shd w:val="clear" w:color="auto" w:fill="auto"/>
        </w:rPr>
        <w:t>二是</w:t>
      </w:r>
      <w:r>
        <w:rPr>
          <w:rFonts w:ascii="仿宋_GB2312" w:eastAsia="仿宋_GB2312" w:hAnsi="仿宋_GB2312" w:cs="仿宋_GB2312" w:hint="eastAsia"/>
          <w:color w:val="auto"/>
          <w:sz w:val="32"/>
          <w:szCs w:val="32"/>
          <w:highlight w:val="none"/>
          <w:shd w:val="clear" w:color="auto" w:fill="auto"/>
        </w:rPr>
        <w:t>履行</w:t>
      </w:r>
      <w:r>
        <w:rPr>
          <w:rFonts w:ascii="仿宋_GB2312" w:eastAsia="仿宋_GB2312" w:hAnsi="仿宋_GB2312" w:cs="仿宋_GB2312" w:hint="eastAsia"/>
          <w:color w:val="auto"/>
          <w:sz w:val="32"/>
          <w:szCs w:val="32"/>
          <w:highlight w:val="none"/>
          <w:shd w:val="clear" w:color="auto" w:fill="auto"/>
          <w:lang w:eastAsia="zh-CN"/>
        </w:rPr>
        <w:t>党政领导</w:t>
      </w:r>
      <w:r>
        <w:rPr>
          <w:rFonts w:ascii="仿宋_GB2312" w:eastAsia="仿宋_GB2312" w:hAnsi="仿宋_GB2312" w:cs="仿宋_GB2312" w:hint="eastAsia"/>
          <w:color w:val="auto"/>
          <w:sz w:val="32"/>
          <w:szCs w:val="32"/>
          <w:highlight w:val="none"/>
          <w:shd w:val="clear" w:color="auto" w:fill="auto"/>
        </w:rPr>
        <w:t>第一责任人职责，召开“一规划两纲要”工作会议2次。</w:t>
      </w:r>
      <w:r>
        <w:rPr>
          <w:rFonts w:ascii="仿宋_GB2312" w:eastAsia="仿宋_GB2312" w:hAnsi="仿宋_GB2312" w:cs="仿宋_GB2312" w:hint="eastAsia"/>
          <w:b/>
          <w:bCs/>
          <w:color w:val="auto"/>
          <w:sz w:val="32"/>
          <w:szCs w:val="32"/>
          <w:highlight w:val="none"/>
          <w:shd w:val="clear" w:color="auto" w:fill="auto"/>
        </w:rPr>
        <w:t>三是</w:t>
      </w:r>
      <w:r>
        <w:rPr>
          <w:rFonts w:ascii="仿宋_GB2312" w:eastAsia="仿宋_GB2312" w:hAnsi="仿宋_GB2312" w:cs="仿宋_GB2312" w:hint="eastAsia"/>
          <w:color w:val="auto"/>
          <w:sz w:val="32"/>
          <w:szCs w:val="32"/>
          <w:highlight w:val="none"/>
          <w:shd w:val="clear" w:color="auto" w:fill="auto"/>
        </w:rPr>
        <w:t>时刻督促领导班子成员依法办事，通过加强法治宣传教育培训、完善法治工作机制等措施，全年共组织机关干部法治学习培训12次，参与党员干部达300余人次，营造了尊法学法守法用法的良好氛围。</w:t>
      </w:r>
      <w:r>
        <w:rPr>
          <w:rFonts w:ascii="仿宋_GB2312" w:eastAsia="仿宋_GB2312" w:hAnsi="仿宋_GB2312" w:cs="仿宋_GB2312" w:hint="eastAsia"/>
          <w:b/>
          <w:bCs/>
          <w:color w:val="auto"/>
          <w:sz w:val="32"/>
          <w:szCs w:val="32"/>
          <w:highlight w:val="none"/>
          <w:shd w:val="clear" w:color="auto" w:fill="auto"/>
          <w:lang w:eastAsia="zh-CN"/>
        </w:rPr>
        <w:t>四</w:t>
      </w:r>
      <w:r>
        <w:rPr>
          <w:rFonts w:ascii="仿宋_GB2312" w:eastAsia="仿宋_GB2312" w:hAnsi="仿宋_GB2312" w:cs="仿宋_GB2312" w:hint="eastAsia"/>
          <w:b/>
          <w:bCs/>
          <w:color w:val="auto"/>
          <w:sz w:val="32"/>
          <w:szCs w:val="32"/>
          <w:highlight w:val="none"/>
          <w:shd w:val="clear" w:color="auto" w:fill="auto"/>
        </w:rPr>
        <w:t>是</w:t>
      </w:r>
      <w:r>
        <w:rPr>
          <w:rFonts w:ascii="仿宋_GB2312" w:eastAsia="仿宋_GB2312" w:hAnsi="仿宋_GB2312" w:cs="仿宋_GB2312" w:hint="eastAsia"/>
          <w:color w:val="auto"/>
          <w:sz w:val="32"/>
          <w:szCs w:val="32"/>
          <w:highlight w:val="none"/>
          <w:shd w:val="clear" w:color="auto" w:fill="auto"/>
        </w:rPr>
        <w:t>坚持科学民主决策。</w:t>
      </w:r>
      <w:r>
        <w:rPr>
          <w:rFonts w:ascii="仿宋_GB2312" w:eastAsia="仿宋_GB2312" w:hAnsi="仿宋_GB2312" w:cs="仿宋_GB2312" w:hint="eastAsia"/>
          <w:color w:val="auto"/>
          <w:sz w:val="32"/>
          <w:szCs w:val="32"/>
          <w:highlight w:val="none"/>
          <w:shd w:val="clear" w:color="auto" w:fill="auto"/>
          <w:lang w:val="en-US" w:eastAsia="zh-CN"/>
        </w:rPr>
        <w:t>乡政府</w:t>
      </w:r>
      <w:r>
        <w:rPr>
          <w:rFonts w:ascii="仿宋_GB2312" w:eastAsia="仿宋_GB2312" w:hAnsi="仿宋_GB2312" w:cs="仿宋_GB2312" w:hint="eastAsia"/>
          <w:color w:val="auto"/>
          <w:sz w:val="32"/>
          <w:szCs w:val="32"/>
          <w:highlight w:val="none"/>
          <w:shd w:val="clear" w:color="auto" w:fill="auto"/>
        </w:rPr>
        <w:t>会议均落实了</w:t>
      </w:r>
      <w:r>
        <w:rPr>
          <w:rFonts w:ascii="仿宋_GB2312" w:eastAsia="仿宋_GB2312" w:hAnsi="仿宋_GB2312" w:cs="仿宋_GB2312" w:hint="eastAsia"/>
          <w:color w:val="auto"/>
          <w:sz w:val="32"/>
          <w:szCs w:val="32"/>
          <w:highlight w:val="none"/>
          <w:shd w:val="clear" w:color="auto" w:fill="auto"/>
        </w:rPr>
        <w:t>“第一议题”制度</w:t>
      </w:r>
      <w:r>
        <w:rPr>
          <w:rFonts w:ascii="仿宋_GB2312" w:eastAsia="仿宋_GB2312" w:hAnsi="仿宋_GB2312" w:cs="仿宋_GB2312" w:hint="eastAsia"/>
          <w:color w:val="auto"/>
          <w:sz w:val="32"/>
          <w:szCs w:val="32"/>
          <w:highlight w:val="none"/>
          <w:shd w:val="clear" w:color="auto" w:fill="auto"/>
        </w:rPr>
        <w:t>。同时，为提升决策的专业性和合法性，聘请了2名律师与5名公益法律顾问，全年共审查合同文件16件、《村规民约》4件，并成功助力化解村队诉讼案件1起，有效确保了各项决策依法依规。</w:t>
      </w:r>
    </w:p>
    <w:p>
      <w:pPr>
        <w:pStyle w:val="NormalWeb"/>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ascii="楷体_GB2312" w:eastAsia="楷体_GB2312" w:hAnsi="楷体_GB2312" w:cs="楷体_GB2312" w:hint="eastAsia"/>
          <w:color w:val="auto"/>
          <w:sz w:val="32"/>
          <w:szCs w:val="32"/>
          <w:highlight w:val="none"/>
          <w:shd w:val="clear" w:color="auto" w:fill="auto"/>
          <w:lang w:val="en-US" w:eastAsia="zh-CN"/>
        </w:rPr>
      </w:pPr>
      <w:r>
        <w:rPr>
          <w:rFonts w:ascii="楷体_GB2312" w:eastAsia="楷体_GB2312" w:hAnsi="楷体_GB2312" w:cs="楷体_GB2312" w:hint="eastAsia"/>
          <w:color w:val="auto"/>
          <w:sz w:val="32"/>
          <w:szCs w:val="32"/>
          <w:highlight w:val="none"/>
          <w:shd w:val="clear" w:color="auto" w:fill="auto"/>
          <w:lang w:val="en-US" w:eastAsia="zh-CN"/>
        </w:rPr>
        <w:t>（三）强化政府履职，民众权益与政务效能共增进。</w:t>
      </w:r>
    </w:p>
    <w:p>
      <w:pPr>
        <w:pStyle w:val="NormalWeb"/>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beforeAutospacing="0" w:afterAutospacing="0" w:line="540" w:lineRule="exact"/>
        <w:ind w:left="0" w:right="0" w:firstLine="640" w:rightChars="0" w:firstLineChars="200"/>
        <w:jc w:val="both"/>
        <w:textAlignment w:val="auto"/>
        <w:rPr>
          <w:rFonts w:ascii="Times New Roman" w:eastAsia="仿宋_GB2312" w:hAnsi="Times New Roman" w:cs="Times New Roman" w:hint="eastAsia"/>
          <w:b w:val="0"/>
          <w:bCs w:val="0"/>
          <w:i w:val="0"/>
          <w:caps w:val="0"/>
          <w:color w:val="auto"/>
          <w:spacing w:val="0"/>
          <w:kern w:val="2"/>
          <w:sz w:val="32"/>
          <w:szCs w:val="32"/>
          <w:highlight w:val="none"/>
          <w:shd w:val="clear" w:color="auto" w:fill="auto"/>
          <w:lang w:val="en-US" w:eastAsia="zh-CN" w:bidi="ar-SA"/>
        </w:rPr>
      </w:pPr>
      <w:r>
        <w:rPr>
          <w:rFonts w:ascii="Times New Roman" w:eastAsia="仿宋_GB2312" w:hAnsi="Times New Roman" w:cs="Times New Roman" w:hint="eastAsia"/>
          <w:b/>
          <w:bCs/>
          <w:i w:val="0"/>
          <w:caps w:val="0"/>
          <w:color w:val="auto"/>
          <w:spacing w:val="0"/>
          <w:sz w:val="32"/>
          <w:szCs w:val="32"/>
          <w:highlight w:val="none"/>
          <w:shd w:val="clear" w:color="auto" w:fill="auto"/>
          <w:lang w:val="en-US" w:eastAsia="zh-CN"/>
        </w:rPr>
        <w:t>一是</w:t>
      </w:r>
      <w:r>
        <w:rPr>
          <w:rFonts w:ascii="Times New Roman" w:eastAsia="仿宋_GB2312" w:hAnsi="Times New Roman" w:cs="Times New Roman" w:hint="eastAsia"/>
          <w:b w:val="0"/>
          <w:bCs w:val="0"/>
          <w:i w:val="0"/>
          <w:caps w:val="0"/>
          <w:color w:val="auto"/>
          <w:spacing w:val="0"/>
          <w:sz w:val="32"/>
          <w:szCs w:val="32"/>
          <w:highlight w:val="none"/>
          <w:shd w:val="clear" w:color="auto" w:fill="auto"/>
          <w:lang w:val="en-US" w:eastAsia="zh-CN"/>
        </w:rPr>
        <w:t>严格落实党委工作安排，按照“一规划两纲要”工作方案，持续推进“一规划两纲要”工作任务的落实。</w:t>
      </w:r>
      <w:r>
        <w:rPr>
          <w:rFonts w:ascii="Times New Roman" w:eastAsia="仿宋_GB2312" w:hAnsi="Times New Roman" w:cs="Times New Roman" w:hint="eastAsia"/>
          <w:b/>
          <w:bCs/>
          <w:i w:val="0"/>
          <w:caps w:val="0"/>
          <w:color w:val="auto"/>
          <w:spacing w:val="0"/>
          <w:sz w:val="32"/>
          <w:szCs w:val="32"/>
          <w:highlight w:val="none"/>
          <w:shd w:val="clear" w:color="auto" w:fill="auto"/>
          <w:lang w:val="en-US" w:eastAsia="zh-CN"/>
        </w:rPr>
        <w:t>二是</w:t>
      </w:r>
      <w:r>
        <w:rPr>
          <w:rFonts w:ascii="Times New Roman" w:eastAsia="仿宋_GB2312" w:hAnsi="Times New Roman" w:cs="Times New Roman" w:hint="eastAsia"/>
          <w:b w:val="0"/>
          <w:bCs w:val="0"/>
          <w:i w:val="0"/>
          <w:caps w:val="0"/>
          <w:color w:val="auto"/>
          <w:spacing w:val="0"/>
          <w:sz w:val="32"/>
          <w:szCs w:val="32"/>
          <w:highlight w:val="none"/>
          <w:shd w:val="clear" w:color="auto" w:fill="auto"/>
          <w:lang w:val="en-US" w:eastAsia="zh-CN"/>
        </w:rPr>
        <w:t>做好规范性文件的制定、审查、清理工作。</w:t>
      </w:r>
      <w:r>
        <w:rPr>
          <w:rFonts w:ascii="仿宋_GB2312" w:eastAsia="仿宋_GB2312" w:hAnsi="仿宋_GB2312" w:cs="仿宋_GB2312" w:hint="eastAsia"/>
          <w:color w:val="auto"/>
          <w:sz w:val="32"/>
          <w:szCs w:val="32"/>
          <w:highlight w:val="none"/>
          <w:shd w:val="clear" w:color="auto" w:fill="auto"/>
        </w:rPr>
        <w:t>今年以来，</w:t>
      </w:r>
      <w:r>
        <w:rPr>
          <w:rFonts w:ascii="仿宋_GB2312" w:eastAsia="仿宋_GB2312" w:hAnsi="仿宋_GB2312" w:cs="仿宋_GB2312" w:hint="eastAsia"/>
          <w:color w:val="auto"/>
          <w:sz w:val="32"/>
          <w:szCs w:val="32"/>
          <w:highlight w:val="none"/>
          <w:shd w:val="clear" w:color="auto" w:fill="auto"/>
          <w:lang w:val="en-US" w:eastAsia="zh-CN"/>
        </w:rPr>
        <w:t>审查文件</w:t>
      </w:r>
      <w:r>
        <w:rPr>
          <w:rFonts w:ascii="Times New Roman" w:eastAsia="仿宋_GB2312" w:hAnsi="Times New Roman" w:cs="Times New Roman" w:hint="default"/>
          <w:color w:val="auto"/>
          <w:sz w:val="32"/>
          <w:szCs w:val="32"/>
          <w:highlight w:val="none"/>
          <w:shd w:val="clear" w:color="auto" w:fill="auto"/>
          <w:lang w:val="en-US" w:eastAsia="zh-CN"/>
        </w:rPr>
        <w:t>35</w:t>
      </w:r>
      <w:r>
        <w:rPr>
          <w:rFonts w:ascii="仿宋_GB2312" w:eastAsia="仿宋_GB2312" w:hAnsi="仿宋_GB2312" w:cs="仿宋_GB2312" w:hint="eastAsia"/>
          <w:color w:val="auto"/>
          <w:sz w:val="32"/>
          <w:szCs w:val="32"/>
          <w:highlight w:val="none"/>
          <w:shd w:val="clear" w:color="auto" w:fill="auto"/>
          <w:lang w:val="en-US" w:eastAsia="zh-CN"/>
        </w:rPr>
        <w:t>份，清理已失效</w:t>
      </w:r>
      <w:r>
        <w:rPr>
          <w:rFonts w:ascii="仿宋_GB2312" w:eastAsia="仿宋_GB2312" w:hAnsi="仿宋_GB2312" w:cs="仿宋_GB2312" w:hint="eastAsia"/>
          <w:color w:val="auto"/>
          <w:sz w:val="32"/>
          <w:szCs w:val="32"/>
          <w:highlight w:val="none"/>
          <w:shd w:val="clear" w:color="auto" w:fill="auto"/>
        </w:rPr>
        <w:t>的政策性文件</w:t>
      </w:r>
      <w:r>
        <w:rPr>
          <w:rFonts w:ascii="Times New Roman" w:eastAsia="仿宋_GB2312" w:hAnsi="Times New Roman" w:cs="Times New Roman" w:hint="default"/>
          <w:color w:val="auto"/>
          <w:sz w:val="32"/>
          <w:szCs w:val="32"/>
          <w:highlight w:val="none"/>
          <w:shd w:val="clear" w:color="auto" w:fill="auto"/>
        </w:rPr>
        <w:t>3</w:t>
      </w:r>
      <w:r>
        <w:rPr>
          <w:rFonts w:ascii="仿宋_GB2312" w:eastAsia="仿宋_GB2312" w:hAnsi="仿宋_GB2312" w:cs="仿宋_GB2312" w:hint="eastAsia"/>
          <w:color w:val="auto"/>
          <w:sz w:val="32"/>
          <w:szCs w:val="32"/>
          <w:highlight w:val="none"/>
          <w:shd w:val="clear" w:color="auto" w:fill="auto"/>
        </w:rPr>
        <w:t>份</w:t>
      </w:r>
      <w:r>
        <w:rPr>
          <w:rFonts w:ascii="Times New Roman" w:eastAsia="仿宋_GB2312" w:hAnsi="Times New Roman" w:cs="Times New Roman" w:hint="eastAsia"/>
          <w:b w:val="0"/>
          <w:bCs w:val="0"/>
          <w:i w:val="0"/>
          <w:caps w:val="0"/>
          <w:color w:val="auto"/>
          <w:spacing w:val="0"/>
          <w:sz w:val="32"/>
          <w:szCs w:val="32"/>
          <w:highlight w:val="none"/>
          <w:shd w:val="clear" w:color="auto" w:fill="auto"/>
          <w:lang w:val="en-US" w:eastAsia="zh-CN"/>
        </w:rPr>
        <w:t>。</w:t>
      </w:r>
      <w:r>
        <w:rPr>
          <w:rFonts w:ascii="仿宋_GB2312" w:eastAsia="仿宋_GB2312" w:hAnsi="仿宋_GB2312" w:cs="仿宋_GB2312" w:hint="eastAsia"/>
          <w:b/>
          <w:bCs/>
          <w:i w:val="0"/>
          <w:caps w:val="0"/>
          <w:color w:val="auto"/>
          <w:spacing w:val="0"/>
          <w:sz w:val="32"/>
          <w:szCs w:val="32"/>
          <w:highlight w:val="none"/>
          <w:shd w:val="clear" w:color="auto" w:fill="auto"/>
          <w:lang w:val="en-US" w:eastAsia="zh-CN"/>
        </w:rPr>
        <w:t>三</w:t>
      </w:r>
      <w:r>
        <w:rPr>
          <w:rFonts w:ascii="仿宋_GB2312" w:eastAsia="仿宋_GB2312" w:hAnsi="仿宋_GB2312" w:cs="仿宋_GB2312" w:hint="eastAsia"/>
          <w:b/>
          <w:bCs/>
          <w:i w:val="0"/>
          <w:caps w:val="0"/>
          <w:color w:val="auto"/>
          <w:spacing w:val="0"/>
          <w:sz w:val="32"/>
          <w:szCs w:val="32"/>
          <w:highlight w:val="none"/>
          <w:shd w:val="clear" w:color="auto" w:fill="auto"/>
        </w:rPr>
        <w:t>是</w:t>
      </w:r>
      <w:r>
        <w:rPr>
          <w:rFonts w:ascii="Times New Roman" w:eastAsia="仿宋_GB2312" w:hAnsi="Times New Roman" w:cs="Times New Roman" w:hint="eastAsia"/>
          <w:b w:val="0"/>
          <w:bCs w:val="0"/>
          <w:i w:val="0"/>
          <w:caps w:val="0"/>
          <w:color w:val="auto"/>
          <w:spacing w:val="0"/>
          <w:kern w:val="2"/>
          <w:sz w:val="32"/>
          <w:szCs w:val="32"/>
          <w:highlight w:val="none"/>
          <w:shd w:val="clear" w:color="auto" w:fill="auto"/>
          <w:lang w:val="en-US" w:eastAsia="zh-CN" w:bidi="ar-SA"/>
        </w:rPr>
        <w:t>坚持为民解忧，及时办理解决群众诉求。2024年“12345”热线平台共接收派单26件，综合响应率、满意率100%。不断提高百姓的获得感和满意度</w:t>
      </w:r>
      <w:r>
        <w:rPr>
          <w:rFonts w:ascii="仿宋_GB2312" w:eastAsia="仿宋_GB2312" w:hAnsi="仿宋_GB2312" w:cs="仿宋_GB2312" w:hint="eastAsia"/>
          <w:b w:val="0"/>
          <w:bCs w:val="0"/>
          <w:i w:val="0"/>
          <w:caps w:val="0"/>
          <w:color w:val="auto"/>
          <w:spacing w:val="0"/>
          <w:sz w:val="32"/>
          <w:szCs w:val="32"/>
          <w:highlight w:val="none"/>
          <w:shd w:val="clear" w:color="auto" w:fill="auto"/>
        </w:rPr>
        <w:t>。</w:t>
      </w:r>
      <w:r>
        <w:rPr>
          <w:rFonts w:ascii="仿宋_GB2312" w:eastAsia="仿宋_GB2312" w:hAnsi="仿宋_GB2312" w:cs="仿宋_GB2312" w:hint="eastAsia"/>
          <w:b/>
          <w:bCs/>
          <w:i w:val="0"/>
          <w:caps w:val="0"/>
          <w:color w:val="auto"/>
          <w:spacing w:val="0"/>
          <w:sz w:val="32"/>
          <w:szCs w:val="32"/>
          <w:highlight w:val="none"/>
          <w:shd w:val="clear" w:color="auto" w:fill="auto"/>
          <w:lang w:val="en-US" w:eastAsia="zh-CN"/>
        </w:rPr>
        <w:t>四</w:t>
      </w:r>
      <w:r>
        <w:rPr>
          <w:rFonts w:ascii="仿宋_GB2312" w:eastAsia="仿宋_GB2312" w:hAnsi="仿宋_GB2312" w:cs="仿宋_GB2312" w:hint="eastAsia"/>
          <w:b/>
          <w:bCs/>
          <w:i w:val="0"/>
          <w:caps w:val="0"/>
          <w:color w:val="auto"/>
          <w:spacing w:val="0"/>
          <w:sz w:val="32"/>
          <w:szCs w:val="32"/>
          <w:highlight w:val="none"/>
          <w:shd w:val="clear" w:color="auto" w:fill="auto"/>
        </w:rPr>
        <w:t>是</w:t>
      </w:r>
      <w:r>
        <w:rPr>
          <w:rFonts w:ascii="仿宋_GB2312" w:eastAsia="仿宋_GB2312" w:hAnsi="仿宋_GB2312" w:cs="仿宋_GB2312" w:hint="eastAsia"/>
          <w:b w:val="0"/>
          <w:bCs w:val="0"/>
          <w:i w:val="0"/>
          <w:caps w:val="0"/>
          <w:color w:val="auto"/>
          <w:spacing w:val="0"/>
          <w:sz w:val="32"/>
          <w:szCs w:val="32"/>
          <w:highlight w:val="none"/>
          <w:shd w:val="clear" w:color="auto" w:fill="auto"/>
        </w:rPr>
        <w:t>加</w:t>
      </w:r>
      <w:r>
        <w:rPr>
          <w:rFonts w:ascii="Times New Roman" w:eastAsia="仿宋_GB2312" w:hAnsi="Times New Roman" w:cs="Times New Roman" w:hint="eastAsia"/>
          <w:b w:val="0"/>
          <w:bCs w:val="0"/>
          <w:i w:val="0"/>
          <w:caps w:val="0"/>
          <w:color w:val="auto"/>
          <w:spacing w:val="0"/>
          <w:kern w:val="2"/>
          <w:sz w:val="32"/>
          <w:szCs w:val="32"/>
          <w:highlight w:val="none"/>
          <w:shd w:val="clear" w:color="auto" w:fill="auto"/>
          <w:lang w:val="en-US" w:eastAsia="zh-CN" w:bidi="ar-SA"/>
        </w:rPr>
        <w:t>大政府信息公开力度，今年以来，利用公开公示栏，政府信息公开事项</w:t>
      </w:r>
      <w:r>
        <w:rPr>
          <w:rFonts w:ascii="Times New Roman" w:eastAsia="仿宋_GB2312" w:hAnsi="Times New Roman" w:cs="Times New Roman" w:hint="default"/>
          <w:b w:val="0"/>
          <w:bCs w:val="0"/>
          <w:i w:val="0"/>
          <w:caps w:val="0"/>
          <w:color w:val="auto"/>
          <w:spacing w:val="0"/>
          <w:kern w:val="2"/>
          <w:sz w:val="32"/>
          <w:szCs w:val="32"/>
          <w:highlight w:val="none"/>
          <w:shd w:val="clear" w:color="auto" w:fill="auto"/>
          <w:lang w:val="en-US" w:eastAsia="zh-CN" w:bidi="ar-SA"/>
        </w:rPr>
        <w:t>8</w:t>
      </w:r>
      <w:r>
        <w:rPr>
          <w:rFonts w:ascii="Times New Roman" w:eastAsia="仿宋_GB2312" w:hAnsi="Times New Roman" w:cs="Times New Roman" w:hint="eastAsia"/>
          <w:b w:val="0"/>
          <w:bCs w:val="0"/>
          <w:i w:val="0"/>
          <w:caps w:val="0"/>
          <w:color w:val="auto"/>
          <w:spacing w:val="0"/>
          <w:kern w:val="2"/>
          <w:sz w:val="32"/>
          <w:szCs w:val="32"/>
          <w:highlight w:val="none"/>
          <w:shd w:val="clear" w:color="auto" w:fill="auto"/>
          <w:lang w:val="en-US" w:eastAsia="zh-CN" w:bidi="ar-SA"/>
        </w:rPr>
        <w:t>件次，行政事项运行公开透明。</w:t>
      </w:r>
      <w:r>
        <w:rPr>
          <w:rFonts w:ascii="仿宋_GB2312" w:eastAsia="仿宋_GB2312" w:hAnsi="仿宋_GB2312" w:cs="仿宋_GB2312" w:hint="eastAsia"/>
          <w:b/>
          <w:bCs/>
          <w:color w:val="auto"/>
          <w:sz w:val="32"/>
          <w:szCs w:val="32"/>
          <w:highlight w:val="none"/>
          <w:shd w:val="clear" w:color="auto" w:fill="auto"/>
          <w:lang w:val="en-US" w:eastAsia="zh-CN"/>
        </w:rPr>
        <w:t>五</w:t>
      </w:r>
      <w:r>
        <w:rPr>
          <w:rFonts w:ascii="仿宋_GB2312" w:eastAsia="仿宋_GB2312" w:hAnsi="仿宋_GB2312" w:cs="仿宋_GB2312" w:hint="eastAsia"/>
          <w:b/>
          <w:bCs/>
          <w:color w:val="auto"/>
          <w:sz w:val="32"/>
          <w:szCs w:val="32"/>
          <w:highlight w:val="none"/>
          <w:shd w:val="clear" w:color="auto" w:fill="auto"/>
        </w:rPr>
        <w:t>是</w:t>
      </w:r>
      <w:r>
        <w:rPr>
          <w:rFonts w:ascii="仿宋_GB2312" w:eastAsia="仿宋_GB2312" w:hAnsi="仿宋_GB2312" w:cs="仿宋_GB2312" w:hint="eastAsia"/>
          <w:b w:val="0"/>
          <w:i w:val="0"/>
          <w:caps w:val="0"/>
          <w:color w:val="auto"/>
          <w:spacing w:val="0"/>
          <w:kern w:val="0"/>
          <w:sz w:val="32"/>
          <w:szCs w:val="32"/>
          <w:highlight w:val="none"/>
          <w:shd w:val="clear" w:color="auto" w:fill="auto"/>
          <w:lang w:val="en-US" w:eastAsia="zh-CN" w:bidi="ar"/>
        </w:rPr>
        <w:t>进一步</w:t>
      </w:r>
      <w:r>
        <w:rPr>
          <w:rFonts w:ascii="仿宋_GB2312" w:eastAsia="仿宋_GB2312" w:hAnsi="仿宋_GB2312" w:cs="仿宋_GB2312" w:hint="eastAsia"/>
          <w:color w:val="auto"/>
          <w:sz w:val="32"/>
          <w:szCs w:val="32"/>
          <w:highlight w:val="none"/>
          <w:shd w:val="clear" w:color="auto" w:fill="auto"/>
        </w:rPr>
        <w:t>理顺</w:t>
      </w:r>
      <w:r>
        <w:rPr>
          <w:rFonts w:ascii="仿宋_GB2312" w:eastAsia="仿宋_GB2312" w:hAnsi="仿宋_GB2312" w:cs="仿宋_GB2312" w:hint="eastAsia"/>
          <w:color w:val="auto"/>
          <w:sz w:val="32"/>
          <w:szCs w:val="32"/>
          <w:highlight w:val="none"/>
          <w:shd w:val="clear" w:color="auto" w:fill="auto"/>
          <w:lang w:val="en-US" w:eastAsia="zh-CN"/>
        </w:rPr>
        <w:t>乡五办五中心</w:t>
      </w:r>
      <w:r>
        <w:rPr>
          <w:rFonts w:ascii="仿宋_GB2312" w:eastAsia="仿宋_GB2312" w:hAnsi="仿宋_GB2312" w:cs="仿宋_GB2312" w:hint="eastAsia"/>
          <w:color w:val="auto"/>
          <w:sz w:val="32"/>
          <w:szCs w:val="32"/>
          <w:highlight w:val="none"/>
          <w:shd w:val="clear" w:color="auto" w:fill="auto"/>
        </w:rPr>
        <w:t>职责</w:t>
      </w:r>
      <w:r>
        <w:rPr>
          <w:rFonts w:ascii="仿宋_GB2312" w:eastAsia="仿宋_GB2312" w:hAnsi="仿宋_GB2312" w:cs="仿宋_GB2312" w:hint="eastAsia"/>
          <w:color w:val="auto"/>
          <w:sz w:val="32"/>
          <w:szCs w:val="32"/>
          <w:highlight w:val="none"/>
          <w:shd w:val="clear" w:color="auto" w:fill="auto"/>
          <w:lang w:eastAsia="zh-CN"/>
        </w:rPr>
        <w:t>，</w:t>
      </w:r>
      <w:r>
        <w:rPr>
          <w:rFonts w:ascii="仿宋_GB2312" w:eastAsia="仿宋_GB2312" w:hAnsi="仿宋_GB2312" w:cs="仿宋_GB2312" w:hint="eastAsia"/>
          <w:color w:val="auto"/>
          <w:sz w:val="32"/>
          <w:szCs w:val="32"/>
          <w:highlight w:val="none"/>
          <w:shd w:val="clear" w:color="auto" w:fill="auto"/>
        </w:rPr>
        <w:t>严格按法定权限和程序</w:t>
      </w:r>
      <w:r>
        <w:rPr>
          <w:rFonts w:ascii="仿宋_GB2312" w:eastAsia="仿宋_GB2312" w:hAnsi="仿宋_GB2312" w:cs="仿宋_GB2312" w:hint="eastAsia"/>
          <w:color w:val="auto"/>
          <w:sz w:val="32"/>
          <w:szCs w:val="32"/>
          <w:highlight w:val="none"/>
          <w:shd w:val="clear" w:color="auto" w:fill="auto"/>
          <w:lang w:val="en-US" w:eastAsia="zh-CN"/>
        </w:rPr>
        <w:t>开展工作，</w:t>
      </w:r>
      <w:r>
        <w:rPr>
          <w:rFonts w:ascii="仿宋_GB2312" w:eastAsia="仿宋_GB2312" w:hAnsi="仿宋_GB2312" w:cs="仿宋_GB2312" w:hint="eastAsia"/>
          <w:color w:val="auto"/>
          <w:sz w:val="32"/>
          <w:szCs w:val="32"/>
          <w:highlight w:val="none"/>
          <w:shd w:val="clear" w:color="auto" w:fill="auto"/>
        </w:rPr>
        <w:t>不断提升政务服务水平。</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40" w:lineRule="exact"/>
        <w:ind w:left="630" w:leftChars="0"/>
        <w:jc w:val="left"/>
        <w:textAlignment w:val="auto"/>
        <w:rPr>
          <w:rFonts w:ascii="楷体_GB2312" w:eastAsia="楷体_GB2312" w:hAnsi="楷体_GB2312" w:cs="楷体_GB2312" w:hint="eastAsia"/>
          <w:i w:val="0"/>
          <w:caps w:val="0"/>
          <w:color w:val="auto"/>
          <w:spacing w:val="0"/>
          <w:sz w:val="32"/>
          <w:szCs w:val="32"/>
          <w:highlight w:val="none"/>
          <w:shd w:val="clear" w:color="auto" w:fill="auto"/>
          <w:lang w:val="en-US" w:eastAsia="zh-CN"/>
        </w:rPr>
      </w:pPr>
      <w:r>
        <w:rPr>
          <w:rFonts w:ascii="楷体_GB2312" w:eastAsia="楷体_GB2312" w:hAnsi="楷体_GB2312" w:cs="楷体_GB2312" w:hint="eastAsia"/>
          <w:i w:val="0"/>
          <w:caps w:val="0"/>
          <w:color w:val="auto"/>
          <w:spacing w:val="0"/>
          <w:sz w:val="32"/>
          <w:szCs w:val="32"/>
          <w:highlight w:val="none"/>
          <w:shd w:val="clear" w:color="auto" w:fill="auto"/>
          <w:lang w:val="en-US" w:eastAsia="zh-CN"/>
        </w:rPr>
        <w:t>（四）坚持依法行政，政务诚信与营商环境双提升。</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40" w:lineRule="exact"/>
        <w:ind w:firstLine="640" w:firstLineChars="200"/>
        <w:jc w:val="left"/>
        <w:textAlignment w:val="auto"/>
        <w:rPr>
          <w:rFonts w:ascii="仿宋_GB2312" w:eastAsia="仿宋_GB2312" w:hAnsi="仿宋_GB2312" w:cs="仿宋_GB2312" w:hint="eastAsia"/>
          <w:color w:val="auto"/>
          <w:sz w:val="32"/>
          <w:szCs w:val="32"/>
          <w:highlight w:val="none"/>
          <w:shd w:val="clear" w:color="auto" w:fill="auto"/>
        </w:rPr>
      </w:pPr>
      <w:r>
        <w:rPr>
          <w:rFonts w:ascii="Times New Roman" w:eastAsia="仿宋_GB2312" w:hAnsi="Times New Roman" w:cs="Times New Roman" w:hint="eastAsia"/>
          <w:b/>
          <w:bCs/>
          <w:i w:val="0"/>
          <w:caps w:val="0"/>
          <w:color w:val="auto"/>
          <w:spacing w:val="0"/>
          <w:sz w:val="32"/>
          <w:szCs w:val="32"/>
          <w:highlight w:val="none"/>
          <w:shd w:val="clear" w:color="auto" w:fill="auto"/>
          <w:lang w:val="en-US" w:eastAsia="zh-CN"/>
        </w:rPr>
        <w:t>一是</w:t>
      </w:r>
      <w:r>
        <w:rPr>
          <w:rFonts w:ascii="Times New Roman" w:eastAsia="仿宋_GB2312" w:hAnsi="Times New Roman" w:cs="Times New Roman" w:hint="eastAsia"/>
          <w:b w:val="0"/>
          <w:bCs w:val="0"/>
          <w:i w:val="0"/>
          <w:caps w:val="0"/>
          <w:color w:val="auto"/>
          <w:spacing w:val="0"/>
          <w:sz w:val="32"/>
          <w:szCs w:val="32"/>
          <w:highlight w:val="none"/>
          <w:shd w:val="clear" w:color="auto" w:fill="auto"/>
          <w:lang w:val="en-US" w:eastAsia="zh-CN"/>
        </w:rPr>
        <w:t>落实政府法律顾问制度，为乡村两级配备聘用法律顾问1人，公益法律顾问</w:t>
      </w:r>
      <w:r>
        <w:rPr>
          <w:rFonts w:ascii="Times New Roman" w:eastAsia="仿宋_GB2312" w:hAnsi="Times New Roman" w:cs="Times New Roman" w:hint="default"/>
          <w:b w:val="0"/>
          <w:bCs w:val="0"/>
          <w:i w:val="0"/>
          <w:caps w:val="0"/>
          <w:color w:val="auto"/>
          <w:spacing w:val="0"/>
          <w:sz w:val="32"/>
          <w:szCs w:val="32"/>
          <w:highlight w:val="none"/>
          <w:shd w:val="clear" w:color="auto" w:fill="auto"/>
          <w:lang w:val="en-US" w:eastAsia="zh-CN"/>
        </w:rPr>
        <w:t>5</w:t>
      </w:r>
      <w:r>
        <w:rPr>
          <w:rFonts w:ascii="Times New Roman" w:eastAsia="仿宋_GB2312" w:hAnsi="Times New Roman" w:cs="Times New Roman" w:hint="eastAsia"/>
          <w:b w:val="0"/>
          <w:bCs w:val="0"/>
          <w:i w:val="0"/>
          <w:caps w:val="0"/>
          <w:color w:val="auto"/>
          <w:spacing w:val="0"/>
          <w:sz w:val="32"/>
          <w:szCs w:val="32"/>
          <w:highlight w:val="none"/>
          <w:shd w:val="clear" w:color="auto" w:fill="auto"/>
          <w:lang w:val="en-US" w:eastAsia="zh-CN"/>
        </w:rPr>
        <w:t>人。2024年度，法律顾问已审核政府合同文书16件，提出修改法律意见16条，均被我乡采纳并实施。二</w:t>
      </w:r>
      <w:r>
        <w:rPr>
          <w:rFonts w:ascii="Times New Roman" w:eastAsia="仿宋_GB2312" w:hAnsi="Times New Roman" w:cs="Times New Roman" w:hint="eastAsia"/>
          <w:b/>
          <w:bCs/>
          <w:i w:val="0"/>
          <w:caps w:val="0"/>
          <w:color w:val="auto"/>
          <w:spacing w:val="0"/>
          <w:sz w:val="32"/>
          <w:szCs w:val="32"/>
          <w:highlight w:val="none"/>
          <w:shd w:val="clear" w:color="auto" w:fill="auto"/>
          <w:lang w:val="en-US" w:eastAsia="zh-CN"/>
        </w:rPr>
        <w:t>是</w:t>
      </w:r>
      <w:r>
        <w:rPr>
          <w:rFonts w:ascii="Times New Roman" w:eastAsia="仿宋_GB2312" w:hAnsi="Times New Roman" w:cs="Times New Roman" w:hint="eastAsia"/>
          <w:b w:val="0"/>
          <w:bCs w:val="0"/>
          <w:i w:val="0"/>
          <w:caps w:val="0"/>
          <w:color w:val="auto"/>
          <w:spacing w:val="0"/>
          <w:sz w:val="32"/>
          <w:szCs w:val="32"/>
          <w:highlight w:val="none"/>
          <w:shd w:val="clear" w:color="auto" w:fill="auto"/>
          <w:lang w:val="en-US" w:eastAsia="zh-CN"/>
        </w:rPr>
        <w:t>积极发挥执法队伍作用，全年查处1起违法案件，对违法者起到了警示作用，有效维护了正常秩序和公共利益。开展行政检查6次、建立健全行政执法监督机制，有效防范了各类风险和隐患，营造了良好的社会氛围。</w:t>
      </w:r>
      <w:r>
        <w:rPr>
          <w:rFonts w:ascii="Times New Roman" w:eastAsia="仿宋_GB2312" w:hAnsi="Times New Roman" w:cs="Times New Roman" w:hint="eastAsia"/>
          <w:b/>
          <w:bCs/>
          <w:i w:val="0"/>
          <w:caps w:val="0"/>
          <w:color w:val="auto"/>
          <w:spacing w:val="0"/>
          <w:sz w:val="32"/>
          <w:szCs w:val="32"/>
          <w:highlight w:val="none"/>
          <w:shd w:val="clear" w:color="auto" w:fill="auto"/>
          <w:lang w:val="en-US" w:eastAsia="zh-CN"/>
        </w:rPr>
        <w:t>三是</w:t>
      </w:r>
      <w:r>
        <w:rPr>
          <w:rFonts w:ascii="Times New Roman" w:eastAsia="仿宋_GB2312" w:hAnsi="Times New Roman" w:cs="Times New Roman" w:hint="eastAsia"/>
          <w:b w:val="0"/>
          <w:bCs w:val="0"/>
          <w:i w:val="0"/>
          <w:caps w:val="0"/>
          <w:color w:val="auto"/>
          <w:spacing w:val="0"/>
          <w:sz w:val="32"/>
          <w:szCs w:val="32"/>
          <w:highlight w:val="none"/>
          <w:shd w:val="clear" w:color="auto" w:fill="auto"/>
          <w:lang w:val="en-US" w:eastAsia="zh-CN"/>
        </w:rPr>
        <w:t>强化守信践诺，加强政府合同、政府采购等履约管理，政府合同履约率提升至100%，清理拖欠中小企业账款82万元，切实维护企业合法权益。政务诚信水平显著提升，营商环境得到进一步优化。</w:t>
      </w:r>
      <w:r>
        <w:rPr>
          <w:rFonts w:ascii="仿宋_GB2312" w:eastAsia="仿宋_GB2312" w:hAnsi="仿宋_GB2312" w:cs="仿宋_GB2312" w:hint="eastAsia"/>
          <w:b/>
          <w:bCs/>
          <w:color w:val="auto"/>
          <w:sz w:val="32"/>
          <w:szCs w:val="32"/>
          <w:highlight w:val="none"/>
          <w:shd w:val="clear" w:color="auto" w:fill="auto"/>
          <w:lang w:val="en-US" w:eastAsia="zh-CN"/>
        </w:rPr>
        <w:t>四</w:t>
      </w:r>
      <w:r>
        <w:rPr>
          <w:rFonts w:ascii="仿宋_GB2312" w:eastAsia="仿宋_GB2312" w:hAnsi="仿宋_GB2312" w:cs="仿宋_GB2312" w:hint="eastAsia"/>
          <w:b/>
          <w:bCs/>
          <w:color w:val="auto"/>
          <w:sz w:val="32"/>
          <w:szCs w:val="32"/>
          <w:highlight w:val="none"/>
          <w:shd w:val="clear" w:color="auto" w:fill="auto"/>
        </w:rPr>
        <w:t>是</w:t>
      </w:r>
      <w:r>
        <w:rPr>
          <w:rFonts w:ascii="仿宋_GB2312" w:eastAsia="仿宋_GB2312" w:hAnsi="仿宋_GB2312" w:cs="仿宋_GB2312" w:hint="eastAsia"/>
          <w:color w:val="auto"/>
          <w:sz w:val="32"/>
          <w:szCs w:val="32"/>
          <w:highlight w:val="none"/>
          <w:shd w:val="clear" w:color="auto" w:fill="auto"/>
        </w:rPr>
        <w:t>健全应诉工作机制</w:t>
      </w:r>
      <w:r>
        <w:rPr>
          <w:rFonts w:ascii="仿宋_GB2312" w:eastAsia="仿宋_GB2312" w:hAnsi="仿宋_GB2312" w:cs="仿宋_GB2312" w:hint="eastAsia"/>
          <w:color w:val="auto"/>
          <w:sz w:val="32"/>
          <w:szCs w:val="32"/>
          <w:highlight w:val="none"/>
          <w:shd w:val="clear" w:color="auto" w:fill="auto"/>
          <w:lang w:eastAsia="zh-CN"/>
        </w:rPr>
        <w:t>。</w:t>
      </w:r>
      <w:r>
        <w:rPr>
          <w:rFonts w:ascii="仿宋_GB2312" w:eastAsia="仿宋_GB2312" w:hAnsi="仿宋_GB2312" w:cs="仿宋_GB2312" w:hint="eastAsia"/>
          <w:color w:val="auto"/>
          <w:sz w:val="32"/>
          <w:szCs w:val="32"/>
          <w:highlight w:val="none"/>
          <w:shd w:val="clear" w:color="auto" w:fill="auto"/>
        </w:rPr>
        <w:t>针对可能因政务公开不到位引发的行政诉讼案件，强化法律支持，提升应诉能力，力求在源头上减少败诉风险。截至目前，我</w:t>
      </w:r>
      <w:r>
        <w:rPr>
          <w:rFonts w:ascii="仿宋_GB2312" w:eastAsia="仿宋_GB2312" w:hAnsi="仿宋_GB2312" w:cs="仿宋_GB2312" w:hint="eastAsia"/>
          <w:color w:val="auto"/>
          <w:sz w:val="32"/>
          <w:szCs w:val="32"/>
          <w:highlight w:val="none"/>
          <w:shd w:val="clear" w:color="auto" w:fill="auto"/>
          <w:lang w:eastAsia="zh-CN"/>
        </w:rPr>
        <w:t>乡</w:t>
      </w:r>
      <w:r>
        <w:rPr>
          <w:rFonts w:ascii="仿宋_GB2312" w:eastAsia="仿宋_GB2312" w:hAnsi="仿宋_GB2312" w:cs="仿宋_GB2312" w:hint="eastAsia"/>
          <w:color w:val="auto"/>
          <w:sz w:val="32"/>
          <w:szCs w:val="32"/>
          <w:highlight w:val="none"/>
          <w:shd w:val="clear" w:color="auto" w:fill="auto"/>
        </w:rPr>
        <w:t>未发生</w:t>
      </w:r>
      <w:r>
        <w:rPr>
          <w:rFonts w:ascii="仿宋_GB2312" w:eastAsia="仿宋_GB2312" w:hAnsi="仿宋_GB2312" w:cs="仿宋_GB2312" w:hint="eastAsia"/>
          <w:color w:val="auto"/>
          <w:sz w:val="32"/>
          <w:szCs w:val="32"/>
          <w:highlight w:val="none"/>
          <w:shd w:val="clear" w:color="auto" w:fill="auto"/>
          <w:lang w:val="en-US" w:eastAsia="zh-CN"/>
        </w:rPr>
        <w:t>应诉</w:t>
      </w:r>
      <w:r>
        <w:rPr>
          <w:rFonts w:ascii="仿宋_GB2312" w:eastAsia="仿宋_GB2312" w:hAnsi="仿宋_GB2312" w:cs="仿宋_GB2312" w:hint="eastAsia"/>
          <w:color w:val="auto"/>
          <w:sz w:val="32"/>
          <w:szCs w:val="32"/>
          <w:highlight w:val="none"/>
          <w:shd w:val="clear" w:color="auto" w:fill="auto"/>
        </w:rPr>
        <w:t>案件。</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textAlignment w:val="auto"/>
        <w:rPr>
          <w:rFonts w:ascii="楷体_GB2312" w:eastAsia="楷体_GB2312" w:hAnsi="楷体_GB2312" w:cs="楷体_GB2312" w:hint="eastAsia"/>
          <w:color w:val="auto"/>
          <w:sz w:val="32"/>
          <w:szCs w:val="32"/>
          <w:highlight w:val="none"/>
          <w:shd w:val="clear" w:color="auto" w:fill="auto"/>
          <w:lang w:eastAsia="zh-CN"/>
        </w:rPr>
      </w:pPr>
      <w:r>
        <w:rPr>
          <w:rFonts w:ascii="楷体_GB2312" w:eastAsia="楷体_GB2312" w:hAnsi="楷体_GB2312" w:cs="楷体_GB2312" w:hint="eastAsia"/>
          <w:color w:val="auto"/>
          <w:sz w:val="32"/>
          <w:szCs w:val="32"/>
          <w:highlight w:val="none"/>
          <w:shd w:val="clear" w:color="auto" w:fill="auto"/>
        </w:rPr>
        <w:t>坚持“枫桥经验”，筑牢基层治理基石</w:t>
      </w:r>
      <w:r>
        <w:rPr>
          <w:rFonts w:ascii="楷体_GB2312" w:eastAsia="楷体_GB2312" w:hAnsi="楷体_GB2312" w:cs="楷体_GB2312" w:hint="eastAsia"/>
          <w:color w:val="auto"/>
          <w:sz w:val="32"/>
          <w:szCs w:val="32"/>
          <w:highlight w:val="none"/>
          <w:shd w:val="clear" w:color="auto" w:fill="auto"/>
          <w:lang w:eastAsia="zh-CN"/>
        </w:rPr>
        <w:t>。</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ascii="仿宋_GB2312" w:eastAsia="仿宋_GB2312" w:hAnsi="仿宋_GB2312" w:cs="仿宋_GB2312" w:hint="eastAsia"/>
          <w:b w:val="0"/>
          <w:bCs w:val="0"/>
          <w:color w:val="auto"/>
          <w:sz w:val="32"/>
          <w:szCs w:val="32"/>
          <w:highlight w:val="none"/>
          <w:shd w:val="clear" w:color="auto" w:fill="auto"/>
        </w:rPr>
      </w:pPr>
      <w:r>
        <w:rPr>
          <w:rFonts w:ascii="仿宋_GB2312" w:eastAsia="仿宋_GB2312" w:hAnsi="仿宋_GB2312" w:cs="仿宋_GB2312" w:hint="eastAsia"/>
          <w:b/>
          <w:bCs/>
          <w:color w:val="auto"/>
          <w:sz w:val="32"/>
          <w:szCs w:val="32"/>
          <w:highlight w:val="none"/>
          <w:shd w:val="clear" w:color="auto" w:fill="auto"/>
        </w:rPr>
        <w:t>一是</w:t>
      </w:r>
      <w:r>
        <w:rPr>
          <w:rFonts w:ascii="仿宋_GB2312" w:eastAsia="仿宋_GB2312" w:hAnsi="仿宋_GB2312" w:cs="仿宋_GB2312" w:hint="eastAsia"/>
          <w:b w:val="0"/>
          <w:bCs w:val="0"/>
          <w:color w:val="auto"/>
          <w:sz w:val="32"/>
          <w:szCs w:val="32"/>
          <w:highlight w:val="none"/>
          <w:shd w:val="clear" w:color="auto" w:fill="auto"/>
        </w:rPr>
        <w:t>聚焦机制建设，提升调解能力。建立了“村队吹哨、部门报到”制度，实现矛盾纠纷分级分类处理。通过人民调解员、网格员就地化解简单纠纷；综治中心调度职能部门调解一般性纠纷；党委</w:t>
      </w:r>
      <w:r>
        <w:rPr>
          <w:rFonts w:ascii="仿宋_GB2312" w:eastAsia="仿宋_GB2312" w:hAnsi="仿宋_GB2312" w:cs="仿宋_GB2312" w:hint="eastAsia"/>
          <w:b w:val="0"/>
          <w:bCs w:val="0"/>
          <w:color w:val="auto"/>
          <w:sz w:val="32"/>
          <w:szCs w:val="32"/>
          <w:highlight w:val="none"/>
          <w:shd w:val="clear" w:color="auto" w:fill="auto"/>
          <w:lang w:eastAsia="zh-CN"/>
        </w:rPr>
        <w:t>、</w:t>
      </w:r>
      <w:r>
        <w:rPr>
          <w:rFonts w:ascii="仿宋_GB2312" w:eastAsia="仿宋_GB2312" w:hAnsi="仿宋_GB2312" w:cs="仿宋_GB2312" w:hint="eastAsia"/>
          <w:b w:val="0"/>
          <w:bCs w:val="0"/>
          <w:color w:val="auto"/>
          <w:sz w:val="32"/>
          <w:szCs w:val="32"/>
          <w:highlight w:val="none"/>
          <w:shd w:val="clear" w:color="auto" w:fill="auto"/>
          <w:lang w:val="en-US" w:eastAsia="zh-CN"/>
        </w:rPr>
        <w:t>政府</w:t>
      </w:r>
      <w:r>
        <w:rPr>
          <w:rFonts w:ascii="仿宋_GB2312" w:eastAsia="仿宋_GB2312" w:hAnsi="仿宋_GB2312" w:cs="仿宋_GB2312" w:hint="eastAsia"/>
          <w:b w:val="0"/>
          <w:bCs w:val="0"/>
          <w:color w:val="auto"/>
          <w:sz w:val="32"/>
          <w:szCs w:val="32"/>
          <w:highlight w:val="none"/>
          <w:shd w:val="clear" w:color="auto" w:fill="auto"/>
        </w:rPr>
        <w:t>组织联席会议联合化解疑难复杂纠纷，有效防止矛盾上行。</w:t>
      </w:r>
      <w:r>
        <w:rPr>
          <w:rFonts w:ascii="仿宋_GB2312" w:eastAsia="仿宋_GB2312" w:hAnsi="仿宋_GB2312" w:cs="仿宋_GB2312" w:hint="eastAsia"/>
          <w:b/>
          <w:bCs/>
          <w:color w:val="auto"/>
          <w:sz w:val="32"/>
          <w:szCs w:val="32"/>
          <w:highlight w:val="none"/>
          <w:shd w:val="clear" w:color="auto" w:fill="auto"/>
        </w:rPr>
        <w:t>二是</w:t>
      </w:r>
      <w:r>
        <w:rPr>
          <w:rFonts w:ascii="仿宋_GB2312" w:eastAsia="仿宋_GB2312" w:hAnsi="仿宋_GB2312" w:cs="仿宋_GB2312" w:hint="eastAsia"/>
          <w:b w:val="0"/>
          <w:bCs w:val="0"/>
          <w:color w:val="auto"/>
          <w:sz w:val="32"/>
          <w:szCs w:val="32"/>
          <w:highlight w:val="none"/>
          <w:shd w:val="clear" w:color="auto" w:fill="auto"/>
        </w:rPr>
        <w:t>聚焦公共法律服务，提升群众幸福感。通过综治中心指挥，利用村干部、调解员、网格员等力量，实现小矛盾上门化解、大矛盾导入法律顾问团调解。同时，打造5个公共法律服务工作站（室），配备5名法律顾问，培养法律明白人12人、农村学法用法示范户20人，为群众提供优质高效的法律服务。</w:t>
      </w:r>
      <w:r>
        <w:rPr>
          <w:rFonts w:ascii="仿宋_GB2312" w:eastAsia="仿宋_GB2312" w:hAnsi="仿宋_GB2312" w:cs="仿宋_GB2312" w:hint="eastAsia"/>
          <w:b/>
          <w:bCs/>
          <w:color w:val="auto"/>
          <w:sz w:val="32"/>
          <w:szCs w:val="32"/>
          <w:highlight w:val="none"/>
          <w:shd w:val="clear" w:color="auto" w:fill="auto"/>
        </w:rPr>
        <w:t>三是</w:t>
      </w:r>
      <w:r>
        <w:rPr>
          <w:rFonts w:ascii="仿宋_GB2312" w:eastAsia="仿宋_GB2312" w:hAnsi="仿宋_GB2312" w:cs="仿宋_GB2312" w:hint="eastAsia"/>
          <w:b w:val="0"/>
          <w:bCs w:val="0"/>
          <w:color w:val="auto"/>
          <w:sz w:val="32"/>
          <w:szCs w:val="32"/>
          <w:highlight w:val="none"/>
          <w:shd w:val="clear" w:color="auto" w:fill="auto"/>
        </w:rPr>
        <w:t>聚焦矛盾纠纷排查，提升发现能力。压实网格员、村及职能部门责任，实施日常排查机制。网格员每日排查重点群体和突发状况，及时上报无法处理的问题；村队由专人负责每周梳理矛盾纠纷，限时解决职责范围内事项；乡综治中心每月汇总矛盾纠纷，对舆情、群众反映问题进行分析预警。今年以来共化解排查发</w:t>
      </w:r>
      <w:r>
        <w:rPr>
          <w:rFonts w:ascii="仿宋_GB2312" w:eastAsia="仿宋_GB2312" w:hAnsi="仿宋_GB2312" w:cs="仿宋_GB2312" w:hint="eastAsia"/>
          <w:b w:val="0"/>
          <w:bCs w:val="0"/>
          <w:color w:val="auto"/>
          <w:sz w:val="32"/>
          <w:szCs w:val="32"/>
          <w:highlight w:val="none"/>
          <w:shd w:val="clear" w:color="auto" w:fill="auto"/>
          <w:lang w:eastAsia="zh-CN"/>
        </w:rPr>
        <w:t>现各</w:t>
      </w:r>
      <w:r>
        <w:rPr>
          <w:rFonts w:ascii="仿宋_GB2312" w:eastAsia="仿宋_GB2312" w:hAnsi="仿宋_GB2312" w:cs="仿宋_GB2312" w:hint="eastAsia"/>
          <w:b w:val="0"/>
          <w:bCs w:val="0"/>
          <w:color w:val="auto"/>
          <w:sz w:val="32"/>
          <w:szCs w:val="32"/>
          <w:highlight w:val="none"/>
          <w:shd w:val="clear" w:color="auto" w:fill="auto"/>
        </w:rPr>
        <w:t>类矛盾纠纷15起，基本实现“小事不出村”。</w:t>
      </w:r>
      <w:r>
        <w:rPr>
          <w:rFonts w:ascii="仿宋_GB2312" w:eastAsia="仿宋_GB2312" w:hAnsi="仿宋_GB2312" w:cs="仿宋_GB2312" w:hint="eastAsia"/>
          <w:b/>
          <w:bCs/>
          <w:color w:val="auto"/>
          <w:sz w:val="32"/>
          <w:szCs w:val="32"/>
          <w:highlight w:val="none"/>
          <w:shd w:val="clear" w:color="auto" w:fill="auto"/>
        </w:rPr>
        <w:t>四是</w:t>
      </w:r>
      <w:r>
        <w:rPr>
          <w:rFonts w:ascii="仿宋_GB2312" w:eastAsia="仿宋_GB2312" w:hAnsi="仿宋_GB2312" w:cs="仿宋_GB2312" w:hint="eastAsia"/>
          <w:b w:val="0"/>
          <w:bCs w:val="0"/>
          <w:color w:val="auto"/>
          <w:sz w:val="32"/>
          <w:szCs w:val="32"/>
          <w:highlight w:val="none"/>
          <w:shd w:val="clear" w:color="auto" w:fill="auto"/>
        </w:rPr>
        <w:t>聚焦矛盾纠纷化解，提升解决能力。构建“三调联动”调解服务模式，为群众提供便捷受理服务。严格按照“属地管理、分级负责”原则，采取“五个一”工作机制，聚焦力量全力化解矛盾。从村级初步化解到乡级全面化解，形成闭环管理。截至目前共化解各类矛盾纠纷36起、初访4起、草场土地纠纷4起，实现了</w:t>
      </w:r>
      <w:r>
        <w:rPr>
          <w:rFonts w:ascii="仿宋_GB2312" w:eastAsia="仿宋_GB2312" w:hAnsi="仿宋_GB2312" w:cs="仿宋_GB2312" w:hint="eastAsia"/>
          <w:b w:val="0"/>
          <w:bCs w:val="0"/>
          <w:color w:val="auto"/>
          <w:sz w:val="32"/>
          <w:szCs w:val="32"/>
          <w:highlight w:val="none"/>
          <w:shd w:val="clear" w:color="auto" w:fill="auto"/>
          <w:lang w:eastAsia="zh-CN"/>
        </w:rPr>
        <w:t>乡村</w:t>
      </w:r>
      <w:r>
        <w:rPr>
          <w:rFonts w:ascii="仿宋_GB2312" w:eastAsia="仿宋_GB2312" w:hAnsi="仿宋_GB2312" w:cs="仿宋_GB2312" w:hint="eastAsia"/>
          <w:b w:val="0"/>
          <w:bCs w:val="0"/>
          <w:color w:val="auto"/>
          <w:sz w:val="32"/>
          <w:szCs w:val="32"/>
          <w:highlight w:val="none"/>
          <w:shd w:val="clear" w:color="auto" w:fill="auto"/>
        </w:rPr>
        <w:t>总体平稳。</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ascii="楷体_GB2312" w:eastAsia="楷体_GB2312" w:hAnsi="楷体_GB2312" w:cs="楷体_GB2312" w:hint="eastAsia"/>
          <w:b w:val="0"/>
          <w:bCs w:val="0"/>
          <w:color w:val="auto"/>
          <w:sz w:val="32"/>
          <w:szCs w:val="32"/>
          <w:highlight w:val="none"/>
          <w:shd w:val="clear" w:color="auto" w:fill="auto"/>
          <w:lang w:val="en-US" w:eastAsia="zh-CN"/>
        </w:rPr>
      </w:pPr>
      <w:r>
        <w:rPr>
          <w:rFonts w:ascii="楷体_GB2312" w:eastAsia="楷体_GB2312" w:hAnsi="楷体_GB2312" w:cs="楷体_GB2312" w:hint="eastAsia"/>
          <w:b w:val="0"/>
          <w:bCs w:val="0"/>
          <w:color w:val="auto"/>
          <w:sz w:val="32"/>
          <w:szCs w:val="32"/>
          <w:highlight w:val="none"/>
          <w:shd w:val="clear" w:color="auto" w:fill="auto"/>
          <w:lang w:val="en-US" w:eastAsia="zh-CN"/>
        </w:rPr>
        <w:t>（六）加大普法力度，深化“八五”普法规划实施。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eastAsia="仿宋_GB2312" w:hAnsi="仿宋_GB2312" w:cs="仿宋_GB2312" w:hint="eastAsia"/>
          <w:b w:val="0"/>
          <w:bCs w:val="0"/>
          <w:color w:val="auto"/>
          <w:sz w:val="32"/>
          <w:szCs w:val="32"/>
          <w:highlight w:val="none"/>
          <w:shd w:val="clear" w:color="auto" w:fill="auto"/>
          <w:lang w:val="en-US" w:eastAsia="zh-CN"/>
        </w:rPr>
      </w:pPr>
      <w:r>
        <w:rPr>
          <w:rFonts w:ascii="仿宋_GB2312" w:eastAsia="仿宋_GB2312" w:hAnsi="仿宋_GB2312" w:cs="仿宋_GB2312" w:hint="eastAsia"/>
          <w:b/>
          <w:bCs/>
          <w:color w:val="auto"/>
          <w:sz w:val="32"/>
          <w:szCs w:val="32"/>
          <w:highlight w:val="none"/>
          <w:shd w:val="clear" w:color="auto" w:fill="auto"/>
          <w:lang w:val="en-US" w:eastAsia="zh-CN"/>
        </w:rPr>
        <w:t>一是</w:t>
      </w:r>
      <w:r>
        <w:rPr>
          <w:rFonts w:ascii="仿宋_GB2312" w:eastAsia="仿宋_GB2312" w:hAnsi="仿宋_GB2312" w:cs="仿宋_GB2312" w:hint="eastAsia"/>
          <w:b w:val="0"/>
          <w:bCs w:val="0"/>
          <w:color w:val="auto"/>
          <w:sz w:val="32"/>
          <w:szCs w:val="32"/>
          <w:highlight w:val="none"/>
          <w:shd w:val="clear" w:color="auto" w:fill="auto"/>
          <w:lang w:val="en-US" w:eastAsia="zh-CN"/>
        </w:rPr>
        <w:t>强化普法责任体系。依据“谁执法谁普法、谁管理谁普法、谁服务谁普法”的原则细化了五办五中心在普法工作中的具体职责和任务，确保普法工作责任到人。</w:t>
      </w:r>
      <w:r>
        <w:rPr>
          <w:rFonts w:ascii="仿宋_GB2312" w:eastAsia="仿宋_GB2312" w:hAnsi="仿宋_GB2312" w:cs="仿宋_GB2312" w:hint="eastAsia"/>
          <w:b/>
          <w:bCs/>
          <w:color w:val="auto"/>
          <w:sz w:val="32"/>
          <w:szCs w:val="32"/>
          <w:highlight w:val="none"/>
          <w:shd w:val="clear" w:color="auto" w:fill="auto"/>
          <w:lang w:val="en-US" w:eastAsia="zh-CN"/>
        </w:rPr>
        <w:t>二是</w:t>
      </w:r>
      <w:r>
        <w:rPr>
          <w:rFonts w:ascii="仿宋_GB2312" w:eastAsia="仿宋_GB2312" w:hAnsi="仿宋_GB2312" w:cs="仿宋_GB2312" w:hint="eastAsia"/>
          <w:b w:val="0"/>
          <w:bCs w:val="0"/>
          <w:color w:val="auto"/>
          <w:sz w:val="32"/>
          <w:szCs w:val="32"/>
          <w:highlight w:val="none"/>
          <w:shd w:val="clear" w:color="auto" w:fill="auto"/>
          <w:lang w:val="en-US" w:eastAsia="zh-CN"/>
        </w:rPr>
        <w:t>丰富普法宣传手段。</w:t>
      </w:r>
      <w:r>
        <w:rPr>
          <w:rFonts w:ascii="仿宋_GB2312" w:eastAsia="仿宋_GB2312" w:hAnsi="仿宋_GB2312" w:cs="仿宋_GB2312" w:hint="eastAsia"/>
          <w:b/>
          <w:bCs/>
          <w:color w:val="auto"/>
          <w:sz w:val="32"/>
          <w:szCs w:val="32"/>
          <w:highlight w:val="none"/>
          <w:shd w:val="clear" w:color="auto" w:fill="auto"/>
          <w:lang w:val="en-US" w:eastAsia="zh-CN"/>
        </w:rPr>
        <w:t>三是</w:t>
      </w:r>
      <w:r>
        <w:rPr>
          <w:rFonts w:ascii="仿宋_GB2312" w:eastAsia="仿宋_GB2312" w:hAnsi="仿宋_GB2312" w:cs="仿宋_GB2312" w:hint="eastAsia"/>
          <w:b w:val="0"/>
          <w:bCs w:val="0"/>
          <w:color w:val="auto"/>
          <w:sz w:val="32"/>
          <w:szCs w:val="32"/>
          <w:highlight w:val="none"/>
          <w:shd w:val="clear" w:color="auto" w:fill="auto"/>
          <w:lang w:val="en-US" w:eastAsia="zh-CN"/>
        </w:rPr>
        <w:t>聚焦重点法律法规宣传。紧扣国家重要法律法规的颁布和实施节点，通过集市宣讲、国旗下讲话、村民文艺汇演等多种群众喜闻乐见的形式，广泛开展法律法规知识普及。</w:t>
      </w:r>
      <w:r>
        <w:rPr>
          <w:rFonts w:ascii="仿宋_GB2312" w:eastAsia="仿宋_GB2312" w:hAnsi="仿宋_GB2312" w:cs="仿宋_GB2312" w:hint="eastAsia"/>
          <w:b/>
          <w:bCs/>
          <w:color w:val="auto"/>
          <w:sz w:val="32"/>
          <w:szCs w:val="32"/>
          <w:highlight w:val="none"/>
          <w:shd w:val="clear" w:color="auto" w:fill="auto"/>
          <w:lang w:val="en-US" w:eastAsia="zh-CN"/>
        </w:rPr>
        <w:t>四是</w:t>
      </w:r>
      <w:r>
        <w:rPr>
          <w:rFonts w:ascii="仿宋_GB2312" w:eastAsia="仿宋_GB2312" w:hAnsi="仿宋_GB2312" w:cs="仿宋_GB2312" w:hint="eastAsia"/>
          <w:b w:val="0"/>
          <w:bCs w:val="0"/>
          <w:color w:val="auto"/>
          <w:sz w:val="32"/>
          <w:szCs w:val="32"/>
          <w:highlight w:val="none"/>
          <w:shd w:val="clear" w:color="auto" w:fill="auto"/>
          <w:lang w:val="en-US" w:eastAsia="zh-CN"/>
        </w:rPr>
        <w:t>推进“法律明白人”、农村学法用户示范户培养工程。由村“两委”成员、人民调解员、网格员、人大代表，组成“法律明白人”队伍，并依托法律顾问资源，定期开展法律知识和调解技能的培训。提升“法律明白人”的法律素养和调解能力。</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outlineLvl w:val="9"/>
        <w:rPr>
          <w:rFonts w:hint="eastAsia"/>
          <w:color w:val="auto"/>
          <w:highlight w:val="none"/>
          <w:shd w:val="clear" w:color="auto" w:fill="auto"/>
          <w:lang w:val="en-US" w:eastAsia="zh-CN"/>
        </w:rPr>
      </w:pPr>
      <w:r>
        <w:rPr>
          <w:rFonts w:ascii="黑体" w:eastAsia="黑体" w:hAnsi="黑体" w:cs="黑体" w:hint="eastAsia"/>
          <w:b w:val="0"/>
          <w:bCs w:val="0"/>
          <w:color w:val="auto"/>
          <w:sz w:val="32"/>
          <w:szCs w:val="32"/>
          <w:highlight w:val="none"/>
          <w:shd w:val="clear" w:color="auto" w:fill="auto"/>
          <w:lang w:val="en-US" w:eastAsia="zh-CN"/>
        </w:rPr>
        <w:t>二、主要做法和存在问题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40"/>
        <w:jc w:val="both"/>
        <w:textAlignment w:val="auto"/>
        <w:outlineLvl w:val="9"/>
        <w:rPr>
          <w:rFonts w:ascii="仿宋_GB2312" w:eastAsia="仿宋_GB2312" w:hAnsi="仿宋_GB2312" w:cs="仿宋_GB2312" w:hint="eastAsia"/>
          <w:b w:val="0"/>
          <w:bCs w:val="0"/>
          <w:color w:val="auto"/>
          <w:sz w:val="32"/>
          <w:szCs w:val="32"/>
          <w:highlight w:val="none"/>
          <w:shd w:val="clear" w:color="auto" w:fill="auto"/>
          <w:lang w:val="en-US" w:eastAsia="zh-CN"/>
        </w:rPr>
      </w:pPr>
      <w:r>
        <w:rPr>
          <w:rFonts w:ascii="楷体_GB2312" w:eastAsia="楷体_GB2312" w:hAnsi="楷体_GB2312" w:cs="楷体_GB2312" w:hint="eastAsia"/>
          <w:b w:val="0"/>
          <w:bCs w:val="0"/>
          <w:color w:val="auto"/>
          <w:sz w:val="32"/>
          <w:szCs w:val="32"/>
          <w:highlight w:val="none"/>
          <w:shd w:val="clear" w:color="auto" w:fill="auto"/>
          <w:lang w:eastAsia="zh-CN"/>
        </w:rPr>
        <w:t>（一）</w:t>
      </w:r>
      <w:r>
        <w:rPr>
          <w:rFonts w:ascii="楷体_GB2312" w:eastAsia="楷体_GB2312" w:hAnsi="楷体_GB2312" w:cs="楷体_GB2312" w:hint="eastAsia"/>
          <w:b w:val="0"/>
          <w:bCs w:val="0"/>
          <w:color w:val="auto"/>
          <w:sz w:val="32"/>
          <w:szCs w:val="32"/>
          <w:highlight w:val="none"/>
          <w:shd w:val="clear" w:color="auto" w:fill="auto"/>
        </w:rPr>
        <w:t>主要做法</w:t>
      </w:r>
      <w:r>
        <w:rPr>
          <w:rFonts w:ascii="楷体_GB2312" w:eastAsia="楷体_GB2312" w:hAnsi="楷体_GB2312" w:cs="楷体_GB2312" w:hint="eastAsia"/>
          <w:b w:val="0"/>
          <w:bCs w:val="0"/>
          <w:color w:val="auto"/>
          <w:sz w:val="32"/>
          <w:szCs w:val="32"/>
          <w:highlight w:val="none"/>
          <w:shd w:val="clear" w:color="auto" w:fill="auto"/>
          <w:lang w:eastAsia="zh-CN"/>
        </w:rPr>
        <w:t>。</w:t>
      </w:r>
      <w:r>
        <w:rPr>
          <w:rFonts w:ascii="仿宋_GB2312" w:eastAsia="仿宋_GB2312" w:hAnsi="仿宋_GB2312" w:cs="仿宋_GB2312" w:hint="eastAsia"/>
          <w:b/>
          <w:bCs/>
          <w:color w:val="auto"/>
          <w:sz w:val="32"/>
          <w:szCs w:val="32"/>
          <w:highlight w:val="none"/>
          <w:shd w:val="clear" w:color="auto" w:fill="auto"/>
          <w:lang w:val="en-US" w:eastAsia="zh-CN"/>
        </w:rPr>
        <w:t>一是</w:t>
      </w:r>
      <w:r>
        <w:rPr>
          <w:rFonts w:ascii="仿宋_GB2312" w:eastAsia="仿宋_GB2312" w:hAnsi="仿宋_GB2312" w:cs="仿宋_GB2312" w:hint="eastAsia"/>
          <w:b w:val="0"/>
          <w:bCs w:val="0"/>
          <w:color w:val="auto"/>
          <w:sz w:val="32"/>
          <w:szCs w:val="32"/>
          <w:highlight w:val="none"/>
          <w:shd w:val="clear" w:color="auto" w:fill="auto"/>
          <w:lang w:val="en-US" w:eastAsia="zh-CN"/>
        </w:rPr>
        <w:t>通过举办法律知识讲座、发放宣传资料等方式，显著提升了全乡居民的法治观念，营造了尊法学法守法用法的良好氛围。</w:t>
      </w:r>
      <w:r>
        <w:rPr>
          <w:rFonts w:ascii="仿宋_GB2312" w:eastAsia="仿宋_GB2312" w:hAnsi="仿宋_GB2312" w:cs="仿宋_GB2312" w:hint="eastAsia"/>
          <w:b/>
          <w:bCs/>
          <w:color w:val="auto"/>
          <w:sz w:val="32"/>
          <w:szCs w:val="32"/>
          <w:highlight w:val="none"/>
          <w:shd w:val="clear" w:color="auto" w:fill="auto"/>
          <w:lang w:val="en-US" w:eastAsia="zh-CN"/>
        </w:rPr>
        <w:t>二是</w:t>
      </w:r>
      <w:r>
        <w:rPr>
          <w:rFonts w:ascii="仿宋_GB2312" w:eastAsia="仿宋_GB2312" w:hAnsi="仿宋_GB2312" w:cs="仿宋_GB2312" w:hint="eastAsia"/>
          <w:b w:val="0"/>
          <w:bCs w:val="0"/>
          <w:color w:val="auto"/>
          <w:sz w:val="32"/>
          <w:szCs w:val="32"/>
          <w:highlight w:val="none"/>
          <w:shd w:val="clear" w:color="auto" w:fill="auto"/>
          <w:lang w:val="en-US" w:eastAsia="zh-CN"/>
        </w:rPr>
        <w:t>加强对行政执法人员的培训与管理，完善执法程序，确保行政执法行为日益规范，有效维护了法律的严肃性和权威性。</w:t>
      </w:r>
      <w:r>
        <w:rPr>
          <w:rFonts w:ascii="仿宋_GB2312" w:eastAsia="仿宋_GB2312" w:hAnsi="仿宋_GB2312" w:cs="仿宋_GB2312" w:hint="eastAsia"/>
          <w:b/>
          <w:bCs/>
          <w:color w:val="auto"/>
          <w:sz w:val="32"/>
          <w:szCs w:val="32"/>
          <w:highlight w:val="none"/>
          <w:shd w:val="clear" w:color="auto" w:fill="auto"/>
          <w:lang w:val="en-US" w:eastAsia="zh-CN"/>
        </w:rPr>
        <w:t>三是</w:t>
      </w:r>
      <w:r>
        <w:rPr>
          <w:rFonts w:ascii="仿宋_GB2312" w:eastAsia="仿宋_GB2312" w:hAnsi="仿宋_GB2312" w:cs="仿宋_GB2312" w:hint="eastAsia"/>
          <w:b w:val="0"/>
          <w:bCs w:val="0"/>
          <w:color w:val="auto"/>
          <w:sz w:val="32"/>
          <w:szCs w:val="32"/>
          <w:highlight w:val="none"/>
          <w:shd w:val="clear" w:color="auto" w:fill="auto"/>
          <w:lang w:val="en-US" w:eastAsia="zh-CN"/>
        </w:rPr>
        <w:t>积极探索矛盾纠纷多元化解机制，初步建立了人民调解、行政调解、司法调解相结合的纠纷解决体系，为群众提供了便捷、高效的矛盾纠纷化解渠道。</w:t>
      </w:r>
    </w:p>
    <w:p>
      <w:pPr>
        <w:keepNext w:val="0"/>
        <w:keepLines w:val="0"/>
        <w:pageBreakBefore w:val="0"/>
        <w:widowControl w:val="0"/>
        <w:shd w:val="clear" w:color="auto" w:fill="auto"/>
        <w:kinsoku/>
        <w:wordWrap/>
        <w:overflowPunct/>
        <w:topLinePunct w:val="0"/>
        <w:autoSpaceDE/>
        <w:autoSpaceDN/>
        <w:bidi w:val="0"/>
        <w:adjustRightInd/>
        <w:snapToGrid/>
        <w:spacing w:line="540" w:lineRule="exact"/>
        <w:ind w:firstLine="640" w:firstLineChars="200"/>
        <w:textAlignment w:val="auto"/>
        <w:rPr>
          <w:rFonts w:ascii="仿宋_GB2312" w:eastAsia="仿宋_GB2312" w:hAnsi="仿宋_GB2312" w:cs="仿宋_GB2312" w:hint="eastAsia"/>
          <w:b w:val="0"/>
          <w:bCs w:val="0"/>
          <w:i w:val="0"/>
          <w:caps w:val="0"/>
          <w:color w:val="auto"/>
          <w:spacing w:val="0"/>
          <w:kern w:val="0"/>
          <w:sz w:val="32"/>
          <w:szCs w:val="32"/>
          <w:highlight w:val="none"/>
          <w:shd w:val="clear" w:color="auto" w:fill="auto"/>
          <w:lang w:val="en-US" w:eastAsia="zh-CN" w:bidi="ar"/>
        </w:rPr>
      </w:pPr>
      <w:r>
        <w:rPr>
          <w:rFonts w:ascii="楷体_GB2312" w:eastAsia="楷体_GB2312" w:hAnsi="楷体_GB2312" w:cs="楷体_GB2312" w:hint="eastAsia"/>
          <w:b w:val="0"/>
          <w:bCs w:val="0"/>
          <w:color w:val="auto"/>
          <w:sz w:val="32"/>
          <w:szCs w:val="32"/>
          <w:highlight w:val="none"/>
          <w:shd w:val="clear" w:color="auto" w:fill="auto"/>
          <w:lang w:val="en-US" w:eastAsia="zh-CN"/>
        </w:rPr>
        <w:t>（二）</w:t>
      </w:r>
      <w:r>
        <w:rPr>
          <w:rFonts w:ascii="楷体_GB2312" w:eastAsia="楷体_GB2312" w:hAnsi="楷体_GB2312" w:cs="楷体_GB2312" w:hint="eastAsia"/>
          <w:b w:val="0"/>
          <w:bCs w:val="0"/>
          <w:color w:val="auto"/>
          <w:sz w:val="32"/>
          <w:szCs w:val="32"/>
          <w:highlight w:val="none"/>
          <w:shd w:val="clear" w:color="auto" w:fill="auto"/>
        </w:rPr>
        <w:t>存在问题</w:t>
      </w:r>
      <w:r>
        <w:rPr>
          <w:rFonts w:ascii="仿宋_GB2312" w:eastAsia="仿宋_GB2312" w:hAnsi="仿宋_GB2312" w:cs="仿宋_GB2312" w:hint="eastAsia"/>
          <w:b w:val="0"/>
          <w:bCs w:val="0"/>
          <w:color w:val="auto"/>
          <w:sz w:val="32"/>
          <w:szCs w:val="32"/>
          <w:highlight w:val="none"/>
          <w:shd w:val="clear" w:color="auto" w:fill="auto"/>
          <w:lang w:eastAsia="zh-CN"/>
        </w:rPr>
        <w:t>。</w:t>
      </w:r>
      <w:r>
        <w:rPr>
          <w:rFonts w:ascii="仿宋_GB2312" w:eastAsia="仿宋_GB2312" w:hAnsi="仿宋_GB2312" w:cs="仿宋_GB2312" w:hint="eastAsia"/>
          <w:b/>
          <w:bCs/>
          <w:i w:val="0"/>
          <w:caps w:val="0"/>
          <w:color w:val="auto"/>
          <w:spacing w:val="0"/>
          <w:kern w:val="0"/>
          <w:sz w:val="32"/>
          <w:szCs w:val="32"/>
          <w:highlight w:val="none"/>
          <w:shd w:val="clear" w:color="auto" w:fill="auto"/>
          <w:lang w:val="en-US" w:eastAsia="zh-CN" w:bidi="ar"/>
        </w:rPr>
        <w:t>一是</w:t>
      </w:r>
      <w:r>
        <w:rPr>
          <w:rFonts w:ascii="仿宋_GB2312" w:eastAsia="仿宋_GB2312" w:hAnsi="仿宋_GB2312" w:cs="仿宋_GB2312" w:hint="eastAsia"/>
          <w:b w:val="0"/>
          <w:bCs w:val="0"/>
          <w:i w:val="0"/>
          <w:caps w:val="0"/>
          <w:color w:val="auto"/>
          <w:spacing w:val="0"/>
          <w:kern w:val="0"/>
          <w:sz w:val="32"/>
          <w:szCs w:val="32"/>
          <w:highlight w:val="none"/>
          <w:shd w:val="clear" w:color="auto" w:fill="auto"/>
          <w:lang w:val="en-US" w:eastAsia="zh-CN" w:bidi="ar"/>
        </w:rPr>
        <w:t>法治建设的意识有待提高，部分乡村干部对法治建设内容理解不透彻、不全面。</w:t>
      </w:r>
      <w:r>
        <w:rPr>
          <w:rFonts w:ascii="仿宋_GB2312" w:eastAsia="仿宋_GB2312" w:hAnsi="仿宋_GB2312" w:cs="仿宋_GB2312" w:hint="eastAsia"/>
          <w:b/>
          <w:bCs/>
          <w:i w:val="0"/>
          <w:caps w:val="0"/>
          <w:color w:val="auto"/>
          <w:spacing w:val="0"/>
          <w:kern w:val="0"/>
          <w:sz w:val="32"/>
          <w:szCs w:val="32"/>
          <w:highlight w:val="none"/>
          <w:shd w:val="clear" w:color="auto" w:fill="auto"/>
          <w:lang w:val="en-US" w:eastAsia="zh-CN" w:bidi="ar"/>
        </w:rPr>
        <w:t>二是</w:t>
      </w:r>
      <w:r>
        <w:rPr>
          <w:rFonts w:ascii="仿宋_GB2312" w:eastAsia="仿宋_GB2312" w:hAnsi="仿宋_GB2312" w:cs="仿宋_GB2312" w:hint="eastAsia"/>
          <w:b w:val="0"/>
          <w:bCs w:val="0"/>
          <w:i w:val="0"/>
          <w:caps w:val="0"/>
          <w:color w:val="auto"/>
          <w:spacing w:val="0"/>
          <w:kern w:val="0"/>
          <w:sz w:val="32"/>
          <w:szCs w:val="32"/>
          <w:highlight w:val="none"/>
          <w:shd w:val="clear" w:color="auto" w:fill="auto"/>
          <w:lang w:val="en-US" w:eastAsia="zh-CN" w:bidi="ar"/>
        </w:rPr>
        <w:t>基层工作人员运用法治手段化解矛盾纠纷的能力还有待加强。</w:t>
      </w:r>
      <w:r>
        <w:rPr>
          <w:rFonts w:ascii="仿宋_GB2312" w:eastAsia="仿宋_GB2312" w:hAnsi="仿宋_GB2312" w:cs="仿宋_GB2312" w:hint="eastAsia"/>
          <w:b/>
          <w:bCs/>
          <w:i w:val="0"/>
          <w:caps w:val="0"/>
          <w:color w:val="auto"/>
          <w:spacing w:val="0"/>
          <w:kern w:val="0"/>
          <w:sz w:val="32"/>
          <w:szCs w:val="32"/>
          <w:highlight w:val="none"/>
          <w:shd w:val="clear" w:color="auto" w:fill="auto"/>
          <w:lang w:val="en-US" w:eastAsia="zh-CN" w:bidi="ar"/>
        </w:rPr>
        <w:t>三是</w:t>
      </w:r>
      <w:r>
        <w:rPr>
          <w:rFonts w:ascii="仿宋_GB2312" w:eastAsia="仿宋_GB2312" w:hAnsi="仿宋_GB2312" w:cs="仿宋_GB2312" w:hint="eastAsia"/>
          <w:color w:val="auto"/>
          <w:sz w:val="32"/>
          <w:szCs w:val="32"/>
          <w:highlight w:val="none"/>
          <w:shd w:val="clear" w:color="auto" w:fill="auto"/>
        </w:rPr>
        <w:t>法治宣传教育还不够深入，部分群众的法律意识和法治观念仍有待提升。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ascii="黑体" w:eastAsia="黑体" w:hAnsi="黑体" w:cs="黑体" w:hint="eastAsia"/>
          <w:b w:val="0"/>
          <w:bCs w:val="0"/>
          <w:color w:val="auto"/>
          <w:sz w:val="32"/>
          <w:szCs w:val="32"/>
          <w:highlight w:val="none"/>
          <w:shd w:val="clear" w:color="auto" w:fill="auto"/>
          <w:lang w:val="en-US" w:eastAsia="zh-CN"/>
        </w:rPr>
      </w:pPr>
      <w:r>
        <w:rPr>
          <w:rFonts w:ascii="黑体" w:eastAsia="黑体" w:hAnsi="黑体" w:cs="黑体" w:hint="eastAsia"/>
          <w:b w:val="0"/>
          <w:bCs w:val="0"/>
          <w:color w:val="auto"/>
          <w:sz w:val="32"/>
          <w:szCs w:val="32"/>
          <w:highlight w:val="none"/>
          <w:shd w:val="clear" w:color="auto" w:fill="auto"/>
          <w:lang w:val="en-US" w:eastAsia="zh-CN"/>
        </w:rPr>
        <w:t>三、</w:t>
      </w:r>
      <w:r>
        <w:rPr>
          <w:rFonts w:ascii="Times New Roman" w:eastAsia="楷体_GB2312" w:hAnsi="Times New Roman" w:cs="Times New Roman" w:hint="default"/>
          <w:b w:val="0"/>
          <w:bCs w:val="0"/>
          <w:color w:val="auto"/>
          <w:sz w:val="32"/>
          <w:szCs w:val="32"/>
          <w:highlight w:val="none"/>
          <w:shd w:val="clear" w:color="auto" w:fill="auto"/>
          <w:lang w:val="en-US" w:eastAsia="zh-CN"/>
        </w:rPr>
        <w:t>202</w:t>
      </w:r>
      <w:r>
        <w:rPr>
          <w:rFonts w:ascii="Times New Roman" w:eastAsia="楷体_GB2312" w:hAnsi="Times New Roman" w:cs="Times New Roman" w:hint="eastAsia"/>
          <w:b w:val="0"/>
          <w:bCs w:val="0"/>
          <w:color w:val="auto"/>
          <w:sz w:val="32"/>
          <w:szCs w:val="32"/>
          <w:highlight w:val="none"/>
          <w:shd w:val="clear" w:color="auto" w:fill="auto"/>
          <w:lang w:val="en-US" w:eastAsia="zh-CN"/>
        </w:rPr>
        <w:t>5</w:t>
      </w:r>
      <w:r>
        <w:rPr>
          <w:rFonts w:ascii="黑体" w:eastAsia="黑体" w:hAnsi="黑体" w:cs="黑体" w:hint="eastAsia"/>
          <w:b w:val="0"/>
          <w:bCs w:val="0"/>
          <w:color w:val="auto"/>
          <w:sz w:val="32"/>
          <w:szCs w:val="32"/>
          <w:highlight w:val="none"/>
          <w:shd w:val="clear" w:color="auto" w:fill="auto"/>
          <w:lang w:val="en-US" w:eastAsia="zh-CN"/>
        </w:rPr>
        <w:t>年重点工作</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640" w:firstLineChars="200"/>
        <w:textAlignment w:val="auto"/>
        <w:rPr>
          <w:rFonts w:ascii="仿宋_GB2312" w:eastAsia="仿宋_GB2312" w:hAnsi="仿宋_GB2312" w:cs="仿宋_GB2312" w:hint="eastAsia"/>
          <w:b w:val="0"/>
          <w:bCs w:val="0"/>
          <w:color w:val="auto"/>
          <w:sz w:val="32"/>
          <w:szCs w:val="32"/>
          <w:highlight w:val="none"/>
          <w:shd w:val="clear" w:color="auto" w:fill="auto"/>
          <w:lang w:val="en-US" w:eastAsia="zh-CN"/>
        </w:rPr>
      </w:pPr>
      <w:r>
        <w:rPr>
          <w:rFonts w:ascii="楷体_GB2312" w:eastAsia="楷体_GB2312" w:hint="eastAsia"/>
          <w:b w:val="0"/>
          <w:bCs w:val="0"/>
          <w:color w:val="auto"/>
          <w:sz w:val="32"/>
          <w:szCs w:val="32"/>
          <w:highlight w:val="none"/>
          <w:shd w:val="clear" w:color="auto" w:fill="auto"/>
          <w:lang w:val="en-US" w:eastAsia="zh-CN"/>
        </w:rPr>
        <w:t>（一）2025年主要目标任务。</w:t>
      </w:r>
      <w:r>
        <w:rPr>
          <w:rFonts w:ascii="仿宋_GB2312" w:eastAsia="仿宋_GB2312" w:hAnsi="仿宋_GB2312" w:cs="仿宋_GB2312" w:hint="eastAsia"/>
          <w:b w:val="0"/>
          <w:bCs w:val="0"/>
          <w:color w:val="auto"/>
          <w:sz w:val="32"/>
          <w:szCs w:val="32"/>
          <w:highlight w:val="none"/>
          <w:shd w:val="clear" w:color="auto" w:fill="auto"/>
          <w:lang w:val="en-US" w:eastAsia="zh-CN"/>
        </w:rPr>
        <w:t>2025年我乡将严格按照上级要求进一步加大法治政府建设工作力度，认真贯彻党的二十大、党的二十届三中全会精神和习近平总书记关于法治政府建设的重要指示精神。全面强化依法行政，确保乡村治理合法合规；深化法治宣传教育，提升村民法治意识；加强法治人才队伍建设，提高执法能力和水平；推动矛盾纠纷多元化解，维护乡村和谐稳定。打造公正、透明、高效的法治政府，为乡村振兴提供坚实的法治保障，促进乡村经济社会的全面发展。</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640" w:firstLineChars="200"/>
        <w:textAlignment w:val="auto"/>
        <w:rPr>
          <w:rFonts w:ascii="仿宋_GB2312" w:eastAsia="仿宋_GB2312" w:hint="eastAsia"/>
          <w:b w:val="0"/>
          <w:bCs w:val="0"/>
          <w:color w:val="auto"/>
          <w:sz w:val="32"/>
          <w:szCs w:val="32"/>
          <w:highlight w:val="none"/>
          <w:shd w:val="clear" w:color="auto" w:fill="auto"/>
        </w:rPr>
      </w:pPr>
      <w:r>
        <w:rPr>
          <w:rFonts w:ascii="楷体_GB2312" w:eastAsia="楷体_GB2312" w:hint="eastAsia"/>
          <w:b w:val="0"/>
          <w:bCs w:val="0"/>
          <w:color w:val="auto"/>
          <w:sz w:val="32"/>
          <w:szCs w:val="32"/>
          <w:highlight w:val="none"/>
          <w:shd w:val="clear" w:color="auto" w:fill="auto"/>
          <w:lang w:val="en-US" w:eastAsia="zh-CN"/>
        </w:rPr>
        <w:t>（二）完成目标任务的主要措施。一是</w:t>
      </w:r>
      <w:r>
        <w:rPr>
          <w:rFonts w:ascii="仿宋_GB2312" w:eastAsia="仿宋_GB2312" w:hAnsi="仿宋_GB2312" w:cs="仿宋_GB2312" w:hint="eastAsia"/>
          <w:b w:val="0"/>
          <w:bCs w:val="0"/>
          <w:color w:val="auto"/>
          <w:sz w:val="32"/>
          <w:szCs w:val="32"/>
          <w:highlight w:val="none"/>
          <w:shd w:val="clear" w:color="auto" w:fill="auto"/>
        </w:rPr>
        <w:t>深入学习宣传贯彻习近平法治思想</w:t>
      </w:r>
      <w:r>
        <w:rPr>
          <w:rFonts w:ascii="仿宋_GB2312" w:eastAsia="仿宋_GB2312" w:hAnsi="仿宋_GB2312" w:cs="仿宋_GB2312" w:hint="eastAsia"/>
          <w:b w:val="0"/>
          <w:bCs w:val="0"/>
          <w:color w:val="auto"/>
          <w:sz w:val="32"/>
          <w:szCs w:val="32"/>
          <w:highlight w:val="none"/>
          <w:shd w:val="clear" w:color="auto" w:fill="auto"/>
          <w:lang w:eastAsia="zh-CN"/>
        </w:rPr>
        <w:t>，</w:t>
      </w:r>
      <w:r>
        <w:rPr>
          <w:rFonts w:ascii="仿宋_GB2312" w:eastAsia="仿宋_GB2312" w:hint="eastAsia"/>
          <w:color w:val="auto"/>
          <w:sz w:val="32"/>
          <w:szCs w:val="32"/>
          <w:highlight w:val="none"/>
          <w:shd w:val="clear" w:color="auto" w:fill="auto"/>
        </w:rPr>
        <w:t>将习近平法治思想纳入</w:t>
      </w:r>
      <w:r>
        <w:rPr>
          <w:rFonts w:ascii="仿宋_GB2312" w:eastAsia="仿宋_GB2312" w:hint="eastAsia"/>
          <w:color w:val="auto"/>
          <w:sz w:val="32"/>
          <w:szCs w:val="32"/>
          <w:highlight w:val="none"/>
          <w:shd w:val="clear" w:color="auto" w:fill="auto"/>
          <w:lang w:eastAsia="zh-CN"/>
        </w:rPr>
        <w:t>乡党委</w:t>
      </w:r>
      <w:r>
        <w:rPr>
          <w:rFonts w:ascii="仿宋_GB2312" w:eastAsia="仿宋_GB2312" w:hint="eastAsia"/>
          <w:color w:val="auto"/>
          <w:sz w:val="32"/>
          <w:szCs w:val="32"/>
          <w:highlight w:val="none"/>
          <w:shd w:val="clear" w:color="auto" w:fill="auto"/>
        </w:rPr>
        <w:t>中心组专题学习计划，</w:t>
      </w:r>
      <w:r>
        <w:rPr>
          <w:rFonts w:ascii="仿宋_GB2312" w:eastAsia="仿宋_GB2312" w:hint="eastAsia"/>
          <w:color w:val="auto"/>
          <w:sz w:val="32"/>
          <w:szCs w:val="32"/>
          <w:highlight w:val="none"/>
          <w:shd w:val="clear" w:color="auto" w:fill="auto"/>
          <w:lang w:val="en-US" w:eastAsia="zh-CN"/>
        </w:rPr>
        <w:t>党员干部理论学习</w:t>
      </w:r>
      <w:r>
        <w:rPr>
          <w:rFonts w:ascii="仿宋_GB2312" w:eastAsia="仿宋_GB2312" w:hint="eastAsia"/>
          <w:color w:val="auto"/>
          <w:sz w:val="32"/>
          <w:szCs w:val="32"/>
          <w:highlight w:val="none"/>
          <w:shd w:val="clear" w:color="auto" w:fill="auto"/>
        </w:rPr>
        <w:t>。</w:t>
      </w:r>
      <w:r>
        <w:rPr>
          <w:rFonts w:ascii="仿宋_GB2312" w:eastAsia="仿宋_GB2312" w:hAnsi="仿宋_GB2312" w:cs="仿宋_GB2312" w:hint="eastAsia"/>
          <w:b w:val="0"/>
          <w:bCs w:val="0"/>
          <w:color w:val="auto"/>
          <w:sz w:val="32"/>
          <w:szCs w:val="32"/>
          <w:highlight w:val="none"/>
          <w:shd w:val="clear" w:color="auto" w:fill="auto"/>
          <w:lang w:val="en-US" w:eastAsia="zh-CN"/>
        </w:rPr>
        <w:t>把</w:t>
      </w:r>
      <w:r>
        <w:rPr>
          <w:rFonts w:ascii="仿宋_GB2312" w:eastAsia="仿宋_GB2312" w:hAnsi="仿宋_GB2312" w:cs="仿宋_GB2312" w:hint="eastAsia"/>
          <w:color w:val="auto"/>
          <w:sz w:val="32"/>
          <w:szCs w:val="32"/>
          <w:highlight w:val="none"/>
          <w:shd w:val="clear" w:color="auto" w:fill="auto"/>
        </w:rPr>
        <w:t>切实增强贯彻落实</w:t>
      </w:r>
      <w:r>
        <w:rPr>
          <w:rFonts w:ascii="仿宋_GB2312" w:eastAsia="仿宋_GB2312" w:hAnsi="仿宋_GB2312" w:cs="仿宋_GB2312" w:hint="eastAsia"/>
          <w:color w:val="auto"/>
          <w:sz w:val="32"/>
          <w:szCs w:val="32"/>
          <w:highlight w:val="none"/>
          <w:shd w:val="clear" w:color="auto" w:fill="auto"/>
          <w:lang w:val="en-US" w:eastAsia="zh-CN"/>
        </w:rPr>
        <w:t>习近平法治思想作为每名领导干部的思想自觉、政治自觉、行动自觉</w:t>
      </w:r>
      <w:r>
        <w:rPr>
          <w:rFonts w:ascii="仿宋_GB2312" w:eastAsia="仿宋_GB2312" w:hint="eastAsia"/>
          <w:color w:val="auto"/>
          <w:sz w:val="32"/>
          <w:szCs w:val="32"/>
          <w:highlight w:val="none"/>
          <w:shd w:val="clear" w:color="auto" w:fill="auto"/>
          <w:lang w:eastAsia="zh-CN"/>
        </w:rPr>
        <w:t>。</w:t>
      </w:r>
      <w:r>
        <w:rPr>
          <w:rFonts w:ascii="仿宋_GB2312" w:eastAsia="仿宋_GB2312" w:hAnsi="仿宋_GB2312" w:cs="仿宋_GB2312" w:hint="eastAsia"/>
          <w:b w:val="0"/>
          <w:bCs w:val="0"/>
          <w:color w:val="auto"/>
          <w:sz w:val="32"/>
          <w:szCs w:val="32"/>
          <w:highlight w:val="none"/>
          <w:shd w:val="clear" w:color="auto" w:fill="auto"/>
          <w:lang w:val="en-US" w:eastAsia="zh-CN"/>
        </w:rPr>
        <w:t>二</w:t>
      </w:r>
      <w:r>
        <w:rPr>
          <w:rFonts w:ascii="仿宋_GB2312" w:eastAsia="仿宋_GB2312" w:hAnsi="仿宋_GB2312" w:cs="仿宋_GB2312" w:hint="eastAsia"/>
          <w:b/>
          <w:bCs/>
          <w:color w:val="auto"/>
          <w:sz w:val="32"/>
          <w:szCs w:val="32"/>
          <w:highlight w:val="none"/>
          <w:shd w:val="clear" w:color="auto" w:fill="auto"/>
        </w:rPr>
        <w:t>是</w:t>
      </w:r>
      <w:r>
        <w:rPr>
          <w:rFonts w:ascii="仿宋_GB2312" w:eastAsia="仿宋_GB2312" w:hAnsi="仿宋_GB2312" w:cs="仿宋_GB2312" w:hint="eastAsia"/>
          <w:color w:val="auto"/>
          <w:sz w:val="32"/>
          <w:szCs w:val="32"/>
          <w:highlight w:val="none"/>
          <w:shd w:val="clear" w:color="auto" w:fill="auto"/>
        </w:rPr>
        <w:t>拓宽宣传渠道</w:t>
      </w:r>
      <w:r>
        <w:rPr>
          <w:rFonts w:ascii="仿宋_GB2312" w:eastAsia="仿宋_GB2312" w:hAnsi="仿宋_GB2312" w:cs="仿宋_GB2312" w:hint="eastAsia"/>
          <w:color w:val="auto"/>
          <w:sz w:val="32"/>
          <w:szCs w:val="32"/>
          <w:highlight w:val="none"/>
          <w:shd w:val="clear" w:color="auto" w:fill="auto"/>
          <w:lang w:eastAsia="zh-CN"/>
        </w:rPr>
        <w:t>，</w:t>
      </w:r>
      <w:r>
        <w:rPr>
          <w:rFonts w:ascii="仿宋_GB2312" w:eastAsia="仿宋_GB2312" w:hAnsi="仿宋_GB2312" w:cs="仿宋_GB2312" w:hint="eastAsia"/>
          <w:color w:val="auto"/>
          <w:sz w:val="32"/>
          <w:szCs w:val="32"/>
          <w:highlight w:val="none"/>
          <w:shd w:val="clear" w:color="auto" w:fill="auto"/>
          <w:lang w:val="en-US" w:eastAsia="zh-CN"/>
        </w:rPr>
        <w:t>深入开展法治宣传教育</w:t>
      </w:r>
      <w:r>
        <w:rPr>
          <w:rFonts w:ascii="仿宋_GB2312" w:eastAsia="仿宋_GB2312" w:hAnsi="仿宋_GB2312" w:cs="仿宋_GB2312" w:hint="eastAsia"/>
          <w:color w:val="auto"/>
          <w:sz w:val="32"/>
          <w:szCs w:val="32"/>
          <w:highlight w:val="none"/>
          <w:shd w:val="clear" w:color="auto" w:fill="auto"/>
        </w:rPr>
        <w:t>。在保留传统宣传栏、横幅、海报等形式的基础上，</w:t>
      </w:r>
      <w:r>
        <w:rPr>
          <w:rFonts w:ascii="仿宋_GB2312" w:eastAsia="仿宋_GB2312" w:hAnsi="仿宋_GB2312" w:cs="仿宋_GB2312" w:hint="eastAsia"/>
          <w:color w:val="auto"/>
          <w:sz w:val="32"/>
          <w:szCs w:val="32"/>
          <w:highlight w:val="none"/>
          <w:shd w:val="clear" w:color="auto" w:fill="auto"/>
          <w:lang w:val="en-US" w:eastAsia="zh-CN"/>
        </w:rPr>
        <w:t>积极利用</w:t>
      </w:r>
      <w:r>
        <w:rPr>
          <w:rFonts w:ascii="仿宋_GB2312" w:eastAsia="仿宋_GB2312" w:hAnsi="仿宋_GB2312" w:cs="仿宋_GB2312" w:hint="eastAsia"/>
          <w:color w:val="auto"/>
          <w:sz w:val="32"/>
          <w:szCs w:val="32"/>
          <w:highlight w:val="none"/>
          <w:shd w:val="clear" w:color="auto" w:fill="auto"/>
        </w:rPr>
        <w:t>互联网、社交媒体等新媒体工具</w:t>
      </w:r>
      <w:r>
        <w:rPr>
          <w:rFonts w:ascii="仿宋_GB2312" w:eastAsia="仿宋_GB2312" w:hAnsi="仿宋_GB2312" w:cs="仿宋_GB2312" w:hint="eastAsia"/>
          <w:color w:val="auto"/>
          <w:sz w:val="32"/>
          <w:szCs w:val="32"/>
          <w:highlight w:val="none"/>
          <w:shd w:val="clear" w:color="auto" w:fill="auto"/>
          <w:lang w:eastAsia="zh-CN"/>
        </w:rPr>
        <w:t>，</w:t>
      </w:r>
      <w:r>
        <w:rPr>
          <w:rFonts w:ascii="仿宋_GB2312" w:eastAsia="仿宋_GB2312" w:hAnsi="仿宋_GB2312" w:cs="仿宋_GB2312" w:hint="eastAsia"/>
          <w:color w:val="auto"/>
          <w:sz w:val="32"/>
          <w:szCs w:val="32"/>
          <w:highlight w:val="none"/>
          <w:shd w:val="clear" w:color="auto" w:fill="auto"/>
        </w:rPr>
        <w:t>拓宽普法宣传的渠道与范围。组织普法团队深入农村等基层一线，通过举办法治讲座、提供法律咨询、开展法治文化演出、设立法治图书角等多样化的活动，与群众进行直接互动</w:t>
      </w:r>
      <w:r>
        <w:rPr>
          <w:rFonts w:ascii="仿宋_GB2312" w:eastAsia="仿宋_GB2312" w:hAnsi="仿宋_GB2312" w:cs="仿宋_GB2312" w:hint="eastAsia"/>
          <w:b w:val="0"/>
          <w:bCs w:val="0"/>
          <w:color w:val="auto"/>
          <w:sz w:val="32"/>
          <w:szCs w:val="32"/>
          <w:highlight w:val="none"/>
          <w:shd w:val="clear" w:color="auto" w:fill="auto"/>
        </w:rPr>
        <w:t>，提升群众的法治意识与参与度</w:t>
      </w:r>
      <w:r>
        <w:rPr>
          <w:rFonts w:ascii="仿宋_GB2312" w:eastAsia="仿宋_GB2312" w:hAnsi="仿宋_GB2312" w:cs="仿宋_GB2312" w:hint="eastAsia"/>
          <w:b w:val="0"/>
          <w:bCs w:val="0"/>
          <w:color w:val="auto"/>
          <w:sz w:val="32"/>
          <w:szCs w:val="32"/>
          <w:highlight w:val="none"/>
          <w:shd w:val="clear" w:color="auto" w:fill="auto"/>
          <w:lang w:eastAsia="zh-CN"/>
        </w:rPr>
        <w:t>，</w:t>
      </w:r>
      <w:r>
        <w:rPr>
          <w:rFonts w:ascii="仿宋_GB2312" w:eastAsia="仿宋_GB2312" w:hAnsi="仿宋_GB2312" w:cs="仿宋_GB2312" w:hint="eastAsia"/>
          <w:b w:val="0"/>
          <w:bCs w:val="0"/>
          <w:color w:val="auto"/>
          <w:sz w:val="32"/>
          <w:szCs w:val="32"/>
          <w:highlight w:val="none"/>
          <w:shd w:val="clear" w:color="auto" w:fill="auto"/>
        </w:rPr>
        <w:t>形成全社会共同推进法治建设的良好氛围。</w:t>
      </w:r>
      <w:r>
        <w:rPr>
          <w:rFonts w:ascii="仿宋_GB2312" w:eastAsia="仿宋_GB2312" w:hAnsi="仿宋_GB2312" w:cs="仿宋_GB2312" w:hint="eastAsia"/>
          <w:b/>
          <w:bCs/>
          <w:color w:val="auto"/>
          <w:sz w:val="32"/>
          <w:szCs w:val="32"/>
          <w:highlight w:val="none"/>
          <w:shd w:val="clear" w:color="auto" w:fill="auto"/>
          <w:lang w:val="en-US" w:eastAsia="zh-CN"/>
        </w:rPr>
        <w:t>三是</w:t>
      </w:r>
      <w:r>
        <w:rPr>
          <w:rFonts w:ascii="仿宋_GB2312" w:eastAsia="仿宋_GB2312" w:hAnsi="仿宋_GB2312" w:cs="仿宋_GB2312" w:hint="eastAsia"/>
          <w:b w:val="0"/>
          <w:bCs w:val="0"/>
          <w:color w:val="auto"/>
          <w:sz w:val="32"/>
          <w:szCs w:val="32"/>
          <w:highlight w:val="none"/>
          <w:shd w:val="clear" w:color="auto" w:fill="auto"/>
          <w:lang w:val="en-US" w:eastAsia="zh-CN"/>
        </w:rPr>
        <w:t>选派优秀机关干部充实行政执法队伍，严格规范执法流程，透明执法、文明执法，严格落实行政执法“三项制度”</w:t>
      </w:r>
      <w:bookmarkStart w:id="0" w:name="_GoBack"/>
      <w:bookmarkEnd w:id="0"/>
      <w:r>
        <w:rPr>
          <w:rFonts w:ascii="仿宋_GB2312" w:eastAsia="仿宋_GB2312" w:hAnsi="仿宋_GB2312" w:cs="仿宋_GB2312" w:hint="eastAsia"/>
          <w:b w:val="0"/>
          <w:bCs w:val="0"/>
          <w:color w:val="auto"/>
          <w:sz w:val="32"/>
          <w:szCs w:val="32"/>
          <w:highlight w:val="none"/>
          <w:shd w:val="clear" w:color="auto" w:fill="auto"/>
          <w:lang w:val="en-US" w:eastAsia="zh-CN"/>
        </w:rPr>
        <w:t>，完善考核机制，采取以案卷评查等多形式不定期对执法人员进行考核评价，不断提升依法行政工作能力水平。</w:t>
      </w:r>
      <w:r>
        <w:rPr>
          <w:rFonts w:ascii="仿宋_GB2312" w:eastAsia="仿宋_GB2312" w:hAnsi="仿宋_GB2312" w:cs="仿宋_GB2312" w:hint="eastAsia"/>
          <w:b/>
          <w:bCs/>
          <w:color w:val="auto"/>
          <w:sz w:val="32"/>
          <w:szCs w:val="32"/>
          <w:highlight w:val="none"/>
          <w:shd w:val="clear" w:color="auto" w:fill="auto"/>
          <w:lang w:val="en-US" w:eastAsia="zh-CN"/>
        </w:rPr>
        <w:t>四是</w:t>
      </w:r>
      <w:r>
        <w:rPr>
          <w:rFonts w:ascii="仿宋_GB2312" w:eastAsia="仿宋_GB2312" w:hAnsi="仿宋_GB2312" w:cs="仿宋_GB2312" w:hint="eastAsia"/>
          <w:b w:val="0"/>
          <w:bCs w:val="0"/>
          <w:color w:val="auto"/>
          <w:sz w:val="32"/>
          <w:szCs w:val="32"/>
          <w:highlight w:val="none"/>
          <w:shd w:val="clear" w:color="auto" w:fill="auto"/>
          <w:lang w:val="en-US" w:eastAsia="zh-CN"/>
        </w:rPr>
        <w:t>深化法治教育培训，强化实践能力培养。深入学习行业法律法规，通过定期培训、法治讲座、在线学习平台、实践案例分析等多元化培训模式，全面提升基层工作人员的法律素养、普法宣讲能力及运用法治手段化解矛盾纠纷的能力，确保其在工作中能准确、高效地运用法律知识，解决实际问题。</w:t>
      </w:r>
    </w:p>
    <w:p>
      <w:pPr>
        <w:pStyle w:val="TOC3"/>
        <w:keepNext w:val="0"/>
        <w:keepLines w:val="0"/>
        <w:pageBreakBefore w:val="0"/>
        <w:widowControl w:val="0"/>
        <w:shd w:val="clear" w:color="auto" w:fill="auto"/>
        <w:kinsoku/>
        <w:wordWrap/>
        <w:overflowPunct/>
        <w:topLinePunct w:val="0"/>
        <w:autoSpaceDE/>
        <w:autoSpaceDN/>
        <w:bidi w:val="0"/>
        <w:spacing w:line="540" w:lineRule="exact"/>
        <w:ind w:firstLine="640" w:firstLineChars="200"/>
        <w:textAlignment w:val="auto"/>
        <w:rPr>
          <w:rFonts w:ascii="楷体_GB2312" w:eastAsia="楷体_GB2312" w:hAnsi="Times New Roman" w:hint="eastAsia"/>
          <w:b w:val="0"/>
          <w:bCs w:val="0"/>
          <w:color w:val="auto"/>
          <w:kern w:val="32"/>
          <w:highlight w:val="none"/>
          <w:shd w:val="clear" w:color="auto" w:fill="auto"/>
        </w:rPr>
      </w:pPr>
    </w:p>
    <w:p>
      <w:pPr>
        <w:pStyle w:val="BodyTextFirstIndent"/>
        <w:keepNext w:val="0"/>
        <w:keepLines w:val="0"/>
        <w:pageBreakBefore w:val="0"/>
        <w:widowControl w:val="0"/>
        <w:kinsoku/>
        <w:wordWrap/>
        <w:overflowPunct/>
        <w:topLinePunct w:val="0"/>
        <w:autoSpaceDE/>
        <w:autoSpaceDN/>
        <w:bidi w:val="0"/>
        <w:adjustRightInd/>
        <w:snapToGrid/>
        <w:spacing w:after="0" w:line="540" w:lineRule="exact"/>
        <w:ind w:left="6077" w:hanging="4800" w:leftChars="608" w:hangingChars="1500"/>
        <w:jc w:val="both"/>
        <w:textAlignment w:val="auto"/>
        <w:outlineLvl w:val="9"/>
        <w:rPr>
          <w:rFonts w:ascii="仿宋_GB2312" w:eastAsia="仿宋_GB2312" w:hAnsi="仿宋_GB2312" w:cs="仿宋_GB2312" w:hint="default"/>
          <w:color w:val="auto"/>
          <w:sz w:val="32"/>
          <w:szCs w:val="32"/>
          <w:lang w:val="en-US" w:eastAsia="zh-CN"/>
        </w:rPr>
      </w:pPr>
      <w:r>
        <w:rPr>
          <w:rFonts w:ascii="仿宋_GB2312" w:eastAsia="仿宋_GB2312" w:hAnsi="仿宋_GB2312" w:cs="仿宋_GB2312" w:hint="eastAsia"/>
          <w:color w:val="auto"/>
          <w:sz w:val="32"/>
          <w:szCs w:val="32"/>
          <w:lang w:val="en-US" w:eastAsia="zh-CN"/>
        </w:rPr>
        <w:t xml:space="preserve">         乌苏市塔布勒合特蒙古民族乡人民政府</w:t>
      </w:r>
    </w:p>
    <w:p>
      <w:pPr>
        <w:keepNext w:val="0"/>
        <w:keepLines w:val="0"/>
        <w:pageBreakBefore w:val="0"/>
        <w:kinsoku/>
        <w:wordWrap/>
        <w:overflowPunct/>
        <w:topLinePunct w:val="0"/>
        <w:autoSpaceDE/>
        <w:autoSpaceDN/>
        <w:bidi w:val="0"/>
        <w:spacing w:line="540" w:lineRule="exact"/>
        <w:textAlignment w:val="auto"/>
        <w:rPr>
          <w:color w:val="auto"/>
          <w:highlight w:val="none"/>
          <w:shd w:val="clear" w:color="auto" w:fill="auto"/>
        </w:rPr>
      </w:pPr>
      <w:r>
        <w:rPr>
          <w:rFonts w:ascii="仿宋_GB2312" w:eastAsia="仿宋_GB2312" w:hAnsi="仿宋_GB2312" w:cs="仿宋_GB2312" w:hint="eastAsia"/>
          <w:color w:val="auto"/>
          <w:sz w:val="32"/>
          <w:szCs w:val="32"/>
          <w:lang w:val="en-US" w:eastAsia="zh-CN"/>
        </w:rPr>
        <w:t xml:space="preserve">                             </w:t>
      </w:r>
      <w:r>
        <w:rPr>
          <w:rFonts w:ascii="Times New Roman" w:eastAsia="楷体_GB2312" w:hAnsi="Times New Roman" w:cs="Times New Roman" w:hint="default"/>
          <w:color w:val="auto"/>
          <w:sz w:val="32"/>
          <w:szCs w:val="32"/>
          <w:lang w:val="en-US" w:eastAsia="zh-CN"/>
        </w:rPr>
        <w:t>202</w:t>
      </w:r>
      <w:r>
        <w:rPr>
          <w:rFonts w:ascii="Times New Roman" w:eastAsia="楷体_GB2312" w:hAnsi="Times New Roman" w:cs="Times New Roman" w:hint="eastAsia"/>
          <w:color w:val="auto"/>
          <w:sz w:val="32"/>
          <w:szCs w:val="32"/>
          <w:lang w:val="en-US" w:eastAsia="zh-CN"/>
        </w:rPr>
        <w:t>5</w:t>
      </w:r>
      <w:r>
        <w:rPr>
          <w:rFonts w:ascii="仿宋_GB2312" w:eastAsia="仿宋_GB2312" w:hAnsi="仿宋_GB2312" w:cs="仿宋_GB2312" w:hint="eastAsia"/>
          <w:color w:val="auto"/>
          <w:sz w:val="32"/>
          <w:szCs w:val="32"/>
          <w:lang w:val="en-US" w:eastAsia="zh-CN"/>
        </w:rPr>
        <w:t>年</w:t>
      </w:r>
      <w:r>
        <w:rPr>
          <w:rFonts w:eastAsia="仿宋_GB2312" w:cs="Times New Roman" w:hint="eastAsia"/>
          <w:color w:val="auto"/>
          <w:sz w:val="32"/>
          <w:szCs w:val="32"/>
          <w:lang w:val="en-US" w:eastAsia="zh-CN"/>
        </w:rPr>
        <w:t>3</w:t>
      </w:r>
      <w:r>
        <w:rPr>
          <w:rFonts w:ascii="仿宋_GB2312" w:eastAsia="仿宋_GB2312" w:hAnsi="仿宋_GB2312" w:cs="仿宋_GB2312" w:hint="eastAsia"/>
          <w:color w:val="auto"/>
          <w:sz w:val="32"/>
          <w:szCs w:val="32"/>
          <w:lang w:val="en-US" w:eastAsia="zh-CN"/>
        </w:rPr>
        <w:t>月</w:t>
      </w:r>
      <w:r>
        <w:rPr>
          <w:rFonts w:eastAsia="仿宋_GB2312" w:cs="Times New Roman" w:hint="eastAsia"/>
          <w:color w:val="auto"/>
          <w:sz w:val="32"/>
          <w:szCs w:val="32"/>
          <w:lang w:val="en-US" w:eastAsia="zh-CN"/>
        </w:rPr>
        <w:t>4</w:t>
      </w:r>
      <w:r>
        <w:rPr>
          <w:rFonts w:ascii="仿宋_GB2312" w:eastAsia="仿宋_GB2312" w:hAnsi="仿宋_GB2312" w:cs="仿宋_GB2312" w:hint="eastAsia"/>
          <w:color w:val="auto"/>
          <w:sz w:val="32"/>
          <w:szCs w:val="32"/>
          <w:lang w:val="en-US" w:eastAsia="zh-CN"/>
        </w:rPr>
        <w:t xml:space="preserve">日  </w:t>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7A"/>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0B24420"/>
    <w:multiLevelType w:val="singleLevel"/>
    <w:tmpl w:val="10B24420"/>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1704A8"/>
    <w:rsid w:val="07E22776"/>
    <w:rsid w:val="0B2167C6"/>
    <w:rsid w:val="103D580F"/>
    <w:rsid w:val="2B1431F9"/>
    <w:rsid w:val="31605DFD"/>
    <w:rsid w:val="3C4F7E29"/>
    <w:rsid w:val="4D3B4609"/>
    <w:rsid w:val="5D3F01AA"/>
    <w:rsid w:val="751704A8"/>
    <w:rsid w:val="7AE361C6"/>
  </w:rsids>
  <w:docVars>
    <w:docVar w:name="commondata" w:val="eyJoZGlkIjoiZTY1MzZlZTAwYzk4MDYwYTM0YjdmYjA0MTUyOWFmOTQ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qFormat="1"/>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BodyText"/>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BodyText">
    <w:name w:val="Body Text"/>
    <w:basedOn w:val="Normal"/>
    <w:next w:val="BodyText21"/>
    <w:qFormat/>
    <w:pPr>
      <w:spacing w:before="180" w:after="180"/>
    </w:pPr>
  </w:style>
  <w:style w:type="paragraph" w:customStyle="1" w:styleId="BodyText21">
    <w:name w:val="Body Text 21"/>
    <w:basedOn w:val="Normal"/>
    <w:qFormat/>
    <w:pPr>
      <w:spacing w:after="120" w:line="480" w:lineRule="auto"/>
    </w:pPr>
    <w:rPr>
      <w:rFonts w:eastAsia="仿宋_GB2312"/>
      <w:sz w:val="32"/>
      <w:szCs w:val="32"/>
    </w:rPr>
  </w:style>
  <w:style w:type="paragraph" w:styleId="TOC3">
    <w:name w:val="toc 3"/>
    <w:basedOn w:val="Normal"/>
    <w:next w:val="Normal"/>
    <w:qFormat/>
    <w:pPr>
      <w:jc w:val="both"/>
    </w:pPr>
    <w:rPr>
      <w:rFonts w:ascii="仿宋_GB2312" w:eastAsia="仿宋_GB2312" w:hAnsi="仿宋" w:cs="仿宋"/>
      <w:b/>
      <w:color w:val="auto"/>
      <w:kern w:val="2"/>
      <w:sz w:val="32"/>
      <w:szCs w:val="32"/>
      <w:lang w:val="en-US"/>
    </w:rPr>
  </w:style>
  <w:style w:type="paragraph" w:styleId="NormalWeb">
    <w:name w:val="Normal (Web)"/>
    <w:basedOn w:val="Normal"/>
    <w:qFormat/>
    <w:pPr>
      <w:spacing w:before="0" w:beforeAutospacing="1" w:after="0" w:afterAutospacing="1"/>
      <w:ind w:left="0" w:right="0"/>
      <w:jc w:val="left"/>
    </w:pPr>
    <w:rPr>
      <w:kern w:val="0"/>
      <w:sz w:val="24"/>
      <w:lang w:val="en-US" w:eastAsia="zh-CN" w:bidi="ar"/>
    </w:rPr>
  </w:style>
  <w:style w:type="paragraph" w:styleId="BodyTextFirstIndent">
    <w:name w:val="Body Text First Indent"/>
    <w:basedOn w:val="BodyText"/>
    <w:next w:val="Normal"/>
    <w:qFormat/>
    <w:pPr>
      <w:spacing w:after="120"/>
      <w:ind w:firstLine="420" w:firstLineChars="100"/>
    </w:pPr>
    <w:rPr>
      <w:sz w:val="30"/>
    </w:rPr>
  </w:style>
  <w:style w:type="character" w:customStyle="1" w:styleId="vad-item">
    <w:name w:val="vad-item"/>
    <w:basedOn w:val="DefaultParagraphFont"/>
    <w:qFormat/>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20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888888</dc:creator>
  <cp:lastModifiedBy>喜文</cp:lastModifiedBy>
  <cp:revision>1</cp:revision>
  <cp:lastPrinted>2025-03-04T11:40:00Z</cp:lastPrinted>
  <dcterms:created xsi:type="dcterms:W3CDTF">2025-03-04T09:36:00Z</dcterms:created>
  <dcterms:modified xsi:type="dcterms:W3CDTF">2025-03-27T03:32:41Z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3066425504E94F6092C6254466EE99F1_12</vt:lpwstr>
  </property>
  <property fmtid="{D5CDD505-2E9C-101B-9397-08002B2CF9AE}" pid="3" name="KSOProductBuildVer">
    <vt:lpwstr>2052-12.1.0.16729</vt:lpwstr>
  </property>
</Properties>
</file>