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eastAsia="方正小标宋简体" w:hAnsi="方正小标宋简体" w:cs="方正小标宋简体" w:hint="eastAsia"/>
          <w:spacing w:val="-17"/>
          <w:sz w:val="44"/>
          <w:szCs w:val="44"/>
        </w:rPr>
      </w:pPr>
      <w:r>
        <w:rPr>
          <w:rFonts w:ascii="方正小标宋简体" w:eastAsia="方正小标宋简体" w:hAnsi="方正小标宋简体" w:cs="方正小标宋简体" w:hint="eastAsia"/>
          <w:spacing w:val="-17"/>
          <w:sz w:val="44"/>
          <w:szCs w:val="44"/>
          <w:lang w:eastAsia="zh-CN"/>
        </w:rPr>
        <w:t>乌苏市城市管理局</w:t>
      </w:r>
      <w:r>
        <w:rPr>
          <w:rFonts w:ascii="Times New Roman" w:eastAsia="方正小标宋简体" w:hAnsi="Times New Roman" w:cs="Times New Roman" w:hint="default"/>
          <w:spacing w:val="-17"/>
          <w:sz w:val="44"/>
          <w:szCs w:val="44"/>
        </w:rPr>
        <w:t>202</w:t>
      </w:r>
      <w:r>
        <w:rPr>
          <w:rFonts w:ascii="Times New Roman" w:eastAsia="方正小标宋简体" w:hAnsi="Times New Roman" w:cs="Times New Roman" w:hint="default"/>
          <w:spacing w:val="-17"/>
          <w:sz w:val="44"/>
          <w:szCs w:val="44"/>
          <w:lang w:val="en-US" w:eastAsia="zh-CN"/>
        </w:rPr>
        <w:t>4</w:t>
      </w:r>
      <w:r>
        <w:rPr>
          <w:rFonts w:ascii="方正小标宋简体" w:eastAsia="方正小标宋简体" w:hAnsi="方正小标宋简体" w:cs="方正小标宋简体" w:hint="eastAsia"/>
          <w:spacing w:val="-17"/>
          <w:sz w:val="44"/>
          <w:szCs w:val="44"/>
        </w:rPr>
        <w:t>年</w:t>
      </w:r>
      <w:r>
        <w:rPr>
          <w:rFonts w:ascii="方正小标宋简体" w:eastAsia="方正小标宋简体" w:hAnsi="方正小标宋简体" w:cs="方正小标宋简体" w:hint="eastAsia"/>
          <w:spacing w:val="-17"/>
          <w:sz w:val="44"/>
          <w:szCs w:val="44"/>
          <w:lang w:val="en-US" w:eastAsia="zh-CN"/>
        </w:rPr>
        <w:t>度</w:t>
      </w:r>
      <w:r>
        <w:rPr>
          <w:rFonts w:ascii="方正小标宋简体" w:eastAsia="方正小标宋简体" w:hAnsi="方正小标宋简体" w:cs="方正小标宋简体" w:hint="eastAsia"/>
          <w:spacing w:val="-17"/>
          <w:sz w:val="44"/>
          <w:szCs w:val="44"/>
        </w:rPr>
        <w:t>法治政府建设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eastAsia="方正小标宋简体" w:hAnsi="方正小标宋简体" w:cs="方正小标宋简体" w:hint="eastAsia"/>
          <w:spacing w:val="-17"/>
          <w:sz w:val="44"/>
          <w:szCs w:val="44"/>
          <w:lang w:val="en-US" w:eastAsia="zh-CN"/>
        </w:rPr>
      </w:pPr>
      <w:r>
        <w:rPr>
          <w:rFonts w:ascii="方正小标宋简体" w:eastAsia="方正小标宋简体" w:hAnsi="方正小标宋简体" w:cs="方正小标宋简体" w:hint="eastAsia"/>
          <w:spacing w:val="-17"/>
          <w:sz w:val="44"/>
          <w:szCs w:val="44"/>
        </w:rPr>
        <w:t>工作</w:t>
      </w:r>
      <w:r>
        <w:rPr>
          <w:rFonts w:ascii="方正小标宋简体" w:eastAsia="方正小标宋简体" w:hAnsi="方正小标宋简体" w:cs="方正小标宋简体" w:hint="eastAsia"/>
          <w:spacing w:val="-17"/>
          <w:sz w:val="44"/>
          <w:szCs w:val="44"/>
          <w:lang w:val="en-US" w:eastAsia="zh-CN"/>
        </w:rPr>
        <w:t>总结</w:t>
      </w:r>
    </w:p>
    <w:p>
      <w:pPr>
        <w:pStyle w:val="Footer"/>
        <w:rPr>
          <w:rFonts w:ascii="方正小标宋简体" w:eastAsia="方正小标宋简体" w:hAnsi="方正小标宋简体" w:cs="方正小标宋简体" w:hint="eastAsia"/>
          <w:spacing w:val="-17"/>
          <w:sz w:val="44"/>
          <w:szCs w:val="44"/>
          <w:lang w:val="en-US" w:eastAsia="zh-CN"/>
        </w:rPr>
      </w:pPr>
    </w:p>
    <w:p>
      <w:pPr>
        <w:pStyle w:val="Foote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eastAsia="仿宋_GB2312" w:hAnsi="Times New Roman" w:cs="Times New Roman" w:hint="default"/>
          <w:b w:val="0"/>
          <w:bCs w:val="0"/>
          <w:caps w:val="0"/>
          <w:smallCaps w:val="0"/>
          <w:vanish w:val="0"/>
          <w:color w:val="000000" w:themeColor="text1"/>
          <w:kern w:val="2"/>
          <w:sz w:val="32"/>
          <w:szCs w:val="32"/>
          <w:lang w:val="en-US" w:eastAsia="zh-CN" w:bidi="ar-SA"/>
          <w14:textFill>
            <w14:solidFill>
              <w14:schemeClr w14:val="tx1"/>
            </w14:solidFill>
          </w14:textFill>
        </w:rPr>
      </w:pPr>
      <w:r>
        <w:rPr>
          <w:rFonts w:ascii="Times New Roman" w:eastAsia="仿宋_GB2312" w:hAnsi="Times New Roman" w:cs="Times New Roman" w:hint="default"/>
          <w:i w:val="0"/>
          <w:iCs w:val="0"/>
          <w:caps w:val="0"/>
          <w:color w:val="333333"/>
          <w:spacing w:val="0"/>
          <w:sz w:val="32"/>
          <w:szCs w:val="32"/>
          <w:lang w:val="en-US" w:eastAsia="zh-CN"/>
        </w:rPr>
        <w:t>2024</w:t>
      </w:r>
      <w:r>
        <w:rPr>
          <w:rFonts w:ascii="仿宋_GB2312" w:eastAsia="仿宋_GB2312" w:hAnsi="仿宋_GB2312" w:cs="仿宋_GB2312" w:hint="default"/>
          <w:i w:val="0"/>
          <w:iCs w:val="0"/>
          <w:caps w:val="0"/>
          <w:color w:val="333333"/>
          <w:spacing w:val="0"/>
          <w:sz w:val="32"/>
          <w:szCs w:val="32"/>
          <w:lang w:val="en-US" w:eastAsia="zh-CN"/>
        </w:rPr>
        <w:t>年，</w:t>
      </w:r>
      <w:r>
        <w:rPr>
          <w:rFonts w:ascii="仿宋_GB2312" w:eastAsia="仿宋_GB2312" w:hAnsi="仿宋_GB2312" w:cs="仿宋_GB2312" w:hint="eastAsia"/>
          <w:i w:val="0"/>
          <w:iCs w:val="0"/>
          <w:caps w:val="0"/>
          <w:color w:val="333333"/>
          <w:spacing w:val="0"/>
          <w:sz w:val="32"/>
          <w:szCs w:val="32"/>
          <w:lang w:val="en-US" w:eastAsia="zh-CN"/>
        </w:rPr>
        <w:t>乌苏市城市管理局</w:t>
      </w:r>
      <w:r>
        <w:rPr>
          <w:rFonts w:ascii="仿宋_GB2312" w:eastAsia="仿宋_GB2312" w:hAnsi="仿宋_GB2312" w:cs="仿宋_GB2312" w:hint="default"/>
          <w:i w:val="0"/>
          <w:iCs w:val="0"/>
          <w:caps w:val="0"/>
          <w:color w:val="333333"/>
          <w:spacing w:val="0"/>
          <w:sz w:val="32"/>
          <w:szCs w:val="32"/>
          <w:lang w:val="en-US" w:eastAsia="zh-CN"/>
        </w:rPr>
        <w:t>在</w:t>
      </w:r>
      <w:r>
        <w:rPr>
          <w:rFonts w:ascii="仿宋_GB2312" w:eastAsia="仿宋_GB2312" w:hAnsi="仿宋_GB2312" w:cs="仿宋_GB2312" w:hint="eastAsia"/>
          <w:i w:val="0"/>
          <w:iCs w:val="0"/>
          <w:caps w:val="0"/>
          <w:color w:val="333333"/>
          <w:spacing w:val="0"/>
          <w:sz w:val="32"/>
          <w:szCs w:val="32"/>
          <w:lang w:val="en-US" w:eastAsia="zh-CN"/>
        </w:rPr>
        <w:t>市</w:t>
      </w:r>
      <w:r>
        <w:rPr>
          <w:rFonts w:ascii="仿宋_GB2312" w:eastAsia="仿宋_GB2312" w:hAnsi="仿宋_GB2312" w:cs="仿宋_GB2312" w:hint="default"/>
          <w:i w:val="0"/>
          <w:iCs w:val="0"/>
          <w:caps w:val="0"/>
          <w:color w:val="333333"/>
          <w:spacing w:val="0"/>
          <w:sz w:val="32"/>
          <w:szCs w:val="32"/>
          <w:lang w:val="en-US" w:eastAsia="zh-CN"/>
        </w:rPr>
        <w:t>委、</w:t>
      </w:r>
      <w:r>
        <w:rPr>
          <w:rFonts w:ascii="仿宋_GB2312" w:eastAsia="仿宋_GB2312" w:hAnsi="仿宋_GB2312" w:cs="仿宋_GB2312" w:hint="eastAsia"/>
          <w:i w:val="0"/>
          <w:iCs w:val="0"/>
          <w:caps w:val="0"/>
          <w:color w:val="333333"/>
          <w:spacing w:val="0"/>
          <w:sz w:val="32"/>
          <w:szCs w:val="32"/>
          <w:lang w:val="en-US" w:eastAsia="zh-CN"/>
        </w:rPr>
        <w:t>市</w:t>
      </w:r>
      <w:r>
        <w:rPr>
          <w:rFonts w:ascii="仿宋_GB2312" w:eastAsia="仿宋_GB2312" w:hAnsi="仿宋_GB2312" w:cs="仿宋_GB2312" w:hint="default"/>
          <w:i w:val="0"/>
          <w:iCs w:val="0"/>
          <w:caps w:val="0"/>
          <w:color w:val="333333"/>
          <w:spacing w:val="0"/>
          <w:sz w:val="32"/>
          <w:szCs w:val="32"/>
          <w:lang w:val="en-US" w:eastAsia="zh-CN"/>
        </w:rPr>
        <w:t>政府的</w:t>
      </w:r>
      <w:r>
        <w:rPr>
          <w:rFonts w:ascii="仿宋_GB2312" w:eastAsia="仿宋_GB2312" w:hAnsi="仿宋_GB2312" w:cs="仿宋_GB2312" w:hint="eastAsia"/>
          <w:i w:val="0"/>
          <w:iCs w:val="0"/>
          <w:caps w:val="0"/>
          <w:color w:val="333333"/>
          <w:spacing w:val="0"/>
          <w:sz w:val="32"/>
          <w:szCs w:val="32"/>
          <w:lang w:val="en-US" w:eastAsia="zh-CN"/>
        </w:rPr>
        <w:t>正确</w:t>
      </w:r>
      <w:r>
        <w:rPr>
          <w:rFonts w:ascii="仿宋_GB2312" w:eastAsia="仿宋_GB2312" w:hAnsi="仿宋_GB2312" w:cs="仿宋_GB2312" w:hint="default"/>
          <w:i w:val="0"/>
          <w:iCs w:val="0"/>
          <w:caps w:val="0"/>
          <w:color w:val="333333"/>
          <w:spacing w:val="0"/>
          <w:sz w:val="32"/>
          <w:szCs w:val="32"/>
          <w:lang w:val="en-US" w:eastAsia="zh-CN"/>
        </w:rPr>
        <w:t>领导下，</w:t>
      </w:r>
      <w:r>
        <w:rPr>
          <w:rFonts w:ascii="仿宋_GB2312" w:eastAsia="仿宋_GB2312" w:hAnsi="仿宋_GB2312" w:cs="仿宋_GB2312" w:hint="eastAsia"/>
          <w:i w:val="0"/>
          <w:iCs w:val="0"/>
          <w:caps w:val="0"/>
          <w:color w:val="333333"/>
          <w:spacing w:val="0"/>
          <w:sz w:val="32"/>
          <w:szCs w:val="32"/>
          <w:lang w:eastAsia="zh-CN"/>
        </w:rPr>
        <w:t>坚持以习近平新时代中国特色社会主义思想为指导，认真学习贯彻党的</w:t>
      </w:r>
      <w:r>
        <w:rPr>
          <w:rFonts w:ascii="仿宋_GB2312" w:eastAsia="仿宋_GB2312" w:hAnsi="仿宋_GB2312" w:cs="仿宋_GB2312" w:hint="eastAsia"/>
          <w:i w:val="0"/>
          <w:iCs w:val="0"/>
          <w:caps w:val="0"/>
          <w:color w:val="333333"/>
          <w:spacing w:val="0"/>
          <w:sz w:val="32"/>
          <w:szCs w:val="32"/>
          <w:lang w:val="en-US" w:eastAsia="zh-CN"/>
        </w:rPr>
        <w:t>二十</w:t>
      </w:r>
      <w:r>
        <w:rPr>
          <w:rFonts w:ascii="仿宋_GB2312" w:eastAsia="仿宋_GB2312" w:hAnsi="仿宋_GB2312" w:cs="仿宋_GB2312" w:hint="eastAsia"/>
          <w:i w:val="0"/>
          <w:iCs w:val="0"/>
          <w:caps w:val="0"/>
          <w:color w:val="333333"/>
          <w:spacing w:val="0"/>
          <w:sz w:val="32"/>
          <w:szCs w:val="32"/>
          <w:lang w:eastAsia="zh-CN"/>
        </w:rPr>
        <w:t>大精神和习近平总书记关于法治政府建设的重要指示精神，扎实有效推进法治政府工作，积极营造良好的法治氛围，有力地推动法治政府各项工作的开展。</w:t>
      </w:r>
      <w:r>
        <w:rPr>
          <w:rFonts w:ascii="仿宋_GB2312" w:eastAsia="仿宋_GB2312" w:hAnsi="仿宋_GB2312" w:cs="仿宋_GB2312" w:hint="default"/>
          <w:i w:val="0"/>
          <w:iCs w:val="0"/>
          <w:caps w:val="0"/>
          <w:color w:val="333333"/>
          <w:spacing w:val="0"/>
          <w:sz w:val="32"/>
          <w:szCs w:val="32"/>
          <w:lang w:val="en-US" w:eastAsia="zh-CN"/>
        </w:rPr>
        <w:t>现将</w:t>
      </w:r>
      <w:r>
        <w:rPr>
          <w:rFonts w:ascii="仿宋_GB2312" w:eastAsia="仿宋_GB2312" w:hAnsi="仿宋_GB2312" w:cs="仿宋_GB2312" w:hint="eastAsia"/>
          <w:i w:val="0"/>
          <w:iCs w:val="0"/>
          <w:caps w:val="0"/>
          <w:color w:val="333333"/>
          <w:spacing w:val="0"/>
          <w:sz w:val="32"/>
          <w:szCs w:val="32"/>
          <w:lang w:val="en-US" w:eastAsia="zh-CN"/>
        </w:rPr>
        <w:t>城市管理</w:t>
      </w:r>
      <w:r>
        <w:rPr>
          <w:rFonts w:ascii="仿宋_GB2312" w:eastAsia="仿宋_GB2312" w:hAnsi="仿宋_GB2312" w:cs="仿宋_GB2312" w:hint="default"/>
          <w:i w:val="0"/>
          <w:iCs w:val="0"/>
          <w:caps w:val="0"/>
          <w:color w:val="333333"/>
          <w:spacing w:val="0"/>
          <w:sz w:val="32"/>
          <w:szCs w:val="32"/>
          <w:lang w:val="en-US" w:eastAsia="zh-CN"/>
        </w:rPr>
        <w:t>局</w:t>
      </w:r>
      <w:r>
        <w:rPr>
          <w:rFonts w:ascii="Times New Roman" w:eastAsia="仿宋_GB2312" w:hAnsi="Times New Roman" w:cs="Times New Roman" w:hint="default"/>
          <w:i w:val="0"/>
          <w:iCs w:val="0"/>
          <w:caps w:val="0"/>
          <w:color w:val="333333"/>
          <w:spacing w:val="0"/>
          <w:sz w:val="32"/>
          <w:szCs w:val="32"/>
          <w:lang w:val="en-US" w:eastAsia="zh-CN"/>
        </w:rPr>
        <w:t>2024</w:t>
      </w:r>
      <w:r>
        <w:rPr>
          <w:rFonts w:ascii="仿宋_GB2312" w:eastAsia="仿宋_GB2312" w:hAnsi="仿宋_GB2312" w:cs="仿宋_GB2312" w:hint="default"/>
          <w:i w:val="0"/>
          <w:iCs w:val="0"/>
          <w:caps w:val="0"/>
          <w:color w:val="333333"/>
          <w:spacing w:val="0"/>
          <w:sz w:val="32"/>
          <w:szCs w:val="32"/>
          <w:lang w:val="en-US" w:eastAsia="zh-CN"/>
        </w:rPr>
        <w:t>年</w:t>
      </w:r>
      <w:r>
        <w:rPr>
          <w:rFonts w:ascii="仿宋_GB2312" w:eastAsia="仿宋_GB2312" w:hAnsi="仿宋_GB2312" w:cs="仿宋_GB2312" w:hint="eastAsia"/>
          <w:i w:val="0"/>
          <w:iCs w:val="0"/>
          <w:caps w:val="0"/>
          <w:color w:val="333333"/>
          <w:spacing w:val="0"/>
          <w:sz w:val="32"/>
          <w:szCs w:val="32"/>
          <w:lang w:val="en-US" w:eastAsia="zh-CN"/>
        </w:rPr>
        <w:t>度</w:t>
      </w:r>
      <w:r>
        <w:rPr>
          <w:rFonts w:ascii="仿宋_GB2312" w:eastAsia="仿宋_GB2312" w:hAnsi="仿宋_GB2312" w:cs="仿宋_GB2312" w:hint="default"/>
          <w:i w:val="0"/>
          <w:iCs w:val="0"/>
          <w:caps w:val="0"/>
          <w:color w:val="333333"/>
          <w:spacing w:val="0"/>
          <w:sz w:val="32"/>
          <w:szCs w:val="32"/>
          <w:lang w:val="en-US" w:eastAsia="zh-CN"/>
        </w:rPr>
        <w:t>法治政府建设</w:t>
      </w:r>
      <w:r>
        <w:rPr>
          <w:rFonts w:ascii="仿宋_GB2312" w:eastAsia="仿宋_GB2312" w:hAnsi="仿宋_GB2312" w:cs="仿宋_GB2312" w:hint="eastAsia"/>
          <w:i w:val="0"/>
          <w:iCs w:val="0"/>
          <w:caps w:val="0"/>
          <w:color w:val="333333"/>
          <w:spacing w:val="0"/>
          <w:sz w:val="32"/>
          <w:szCs w:val="32"/>
          <w:lang w:val="en-US" w:eastAsia="zh-CN"/>
        </w:rPr>
        <w:t>工作总结</w:t>
      </w:r>
      <w:r>
        <w:rPr>
          <w:rFonts w:ascii="仿宋_GB2312" w:eastAsia="仿宋_GB2312" w:hAnsi="仿宋_GB2312" w:cs="仿宋_GB2312" w:hint="default"/>
          <w:i w:val="0"/>
          <w:iCs w:val="0"/>
          <w:caps w:val="0"/>
          <w:color w:val="333333"/>
          <w:spacing w:val="0"/>
          <w:sz w:val="32"/>
          <w:szCs w:val="32"/>
          <w:lang w:val="en-US" w:eastAsia="zh-CN"/>
        </w:rPr>
        <w:t>如下：</w:t>
      </w:r>
    </w:p>
    <w:p>
      <w:pPr>
        <w:pStyle w:val="Foote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eastAsia="黑体" w:hAnsi="黑体" w:cs="黑体" w:hint="eastAsia"/>
          <w:b w:val="0"/>
          <w:bCs w:val="0"/>
          <w:caps w:val="0"/>
          <w:smallCaps w:val="0"/>
          <w:vanish w:val="0"/>
          <w:color w:val="000000" w:themeColor="text1"/>
          <w:kern w:val="2"/>
          <w:sz w:val="32"/>
          <w:szCs w:val="32"/>
          <w:lang w:val="en-US" w:eastAsia="zh-CN" w:bidi="ar-SA"/>
          <w14:textFill>
            <w14:solidFill>
              <w14:schemeClr w14:val="tx1"/>
            </w14:solidFill>
          </w14:textFill>
        </w:rPr>
      </w:pPr>
      <w:r>
        <w:rPr>
          <w:rFonts w:ascii="黑体" w:eastAsia="黑体" w:hAnsi="黑体" w:cs="黑体" w:hint="eastAsia"/>
          <w:b w:val="0"/>
          <w:bCs w:val="0"/>
          <w:caps w:val="0"/>
          <w:smallCaps w:val="0"/>
          <w:vanish w:val="0"/>
          <w:color w:val="000000" w:themeColor="text1"/>
          <w:kern w:val="2"/>
          <w:sz w:val="32"/>
          <w:szCs w:val="32"/>
          <w:lang w:val="en-US" w:eastAsia="zh-CN" w:bidi="ar-SA"/>
          <w14:textFill>
            <w14:solidFill>
              <w14:schemeClr w14:val="tx1"/>
            </w14:solidFill>
          </w14:textFill>
        </w:rPr>
        <w:t>一、工作开展情况</w:t>
      </w:r>
    </w:p>
    <w:p>
      <w:pPr>
        <w:pStyle w:val="Foote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color w:val="000000"/>
          <w:sz w:val="32"/>
          <w:szCs w:val="32"/>
          <w:lang w:val="en-US" w:eastAsia="zh-CN"/>
        </w:rPr>
        <w:t>（一）加强组织领导，严格落实各项制度。一</w:t>
      </w:r>
      <w:r>
        <w:rPr>
          <w:rFonts w:ascii="仿宋_GB2312" w:eastAsia="仿宋_GB2312" w:hAnsi="仿宋_GB2312" w:cs="仿宋_GB2312" w:hint="eastAsia"/>
          <w:b/>
          <w:bCs/>
          <w:color w:val="000000"/>
          <w:sz w:val="32"/>
          <w:szCs w:val="32"/>
          <w:lang w:val="en-US" w:eastAsia="zh-CN"/>
        </w:rPr>
        <w:t>是</w:t>
      </w:r>
      <w:r>
        <w:rPr>
          <w:rFonts w:ascii="仿宋_GB2312" w:eastAsia="仿宋_GB2312" w:hAnsi="仿宋_GB2312" w:cs="仿宋_GB2312" w:hint="eastAsia"/>
          <w:color w:val="000000"/>
          <w:sz w:val="32"/>
          <w:szCs w:val="32"/>
        </w:rPr>
        <w:t>局党</w:t>
      </w:r>
      <w:r>
        <w:rPr>
          <w:rFonts w:ascii="仿宋_GB2312" w:eastAsia="仿宋_GB2312" w:hAnsi="仿宋_GB2312" w:cs="仿宋_GB2312" w:hint="eastAsia"/>
          <w:color w:val="000000"/>
          <w:sz w:val="32"/>
          <w:szCs w:val="32"/>
          <w:lang w:val="en-US" w:eastAsia="zh-CN"/>
        </w:rPr>
        <w:t>组</w:t>
      </w:r>
      <w:r>
        <w:rPr>
          <w:rFonts w:ascii="仿宋_GB2312" w:eastAsia="仿宋_GB2312" w:hAnsi="仿宋_GB2312" w:cs="仿宋_GB2312" w:hint="eastAsia"/>
          <w:color w:val="000000"/>
          <w:sz w:val="32"/>
          <w:szCs w:val="32"/>
        </w:rPr>
        <w:t>高度重视法治政府建设工作。坚持以习近平法治思想为指导，把法治政府建设作为一项重要的政治任务，摆上重要议事日程。由</w:t>
      </w:r>
      <w:r>
        <w:rPr>
          <w:rFonts w:ascii="仿宋_GB2312" w:eastAsia="仿宋_GB2312" w:hAnsi="仿宋_GB2312" w:cs="仿宋_GB2312" w:hint="eastAsia"/>
          <w:color w:val="000000"/>
          <w:sz w:val="32"/>
          <w:szCs w:val="32"/>
          <w:lang w:val="en-US" w:eastAsia="zh-CN"/>
        </w:rPr>
        <w:t>书记</w:t>
      </w:r>
      <w:r>
        <w:rPr>
          <w:rFonts w:ascii="仿宋_GB2312" w:eastAsia="仿宋_GB2312" w:hAnsi="仿宋_GB2312" w:cs="仿宋_GB2312" w:hint="eastAsia"/>
          <w:color w:val="000000"/>
          <w:sz w:val="32"/>
          <w:szCs w:val="32"/>
        </w:rPr>
        <w:t>任组长、</w:t>
      </w:r>
      <w:r>
        <w:rPr>
          <w:rFonts w:ascii="仿宋_GB2312" w:eastAsia="仿宋_GB2312" w:hAnsi="仿宋_GB2312" w:cs="仿宋_GB2312" w:hint="eastAsia"/>
          <w:color w:val="000000"/>
          <w:sz w:val="32"/>
          <w:szCs w:val="32"/>
          <w:lang w:eastAsia="zh-CN"/>
        </w:rPr>
        <w:t>局长任副组长、</w:t>
      </w:r>
      <w:r>
        <w:rPr>
          <w:rFonts w:ascii="仿宋_GB2312" w:eastAsia="仿宋_GB2312" w:hAnsi="仿宋_GB2312" w:cs="仿宋_GB2312" w:hint="eastAsia"/>
          <w:color w:val="000000"/>
          <w:sz w:val="32"/>
          <w:szCs w:val="32"/>
        </w:rPr>
        <w:t>分管领导</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lang w:eastAsia="zh-CN"/>
        </w:rPr>
        <w:t>科</w:t>
      </w:r>
      <w:r>
        <w:rPr>
          <w:rFonts w:ascii="仿宋_GB2312" w:eastAsia="仿宋_GB2312" w:hAnsi="仿宋_GB2312" w:cs="仿宋_GB2312" w:hint="eastAsia"/>
          <w:color w:val="000000"/>
          <w:sz w:val="32"/>
          <w:szCs w:val="32"/>
        </w:rPr>
        <w:t>室负责人为成员的</w:t>
      </w:r>
      <w:r>
        <w:rPr>
          <w:rFonts w:ascii="仿宋_GB2312" w:eastAsia="仿宋_GB2312" w:hAnsi="仿宋_GB2312" w:cs="仿宋_GB2312" w:hint="eastAsia"/>
          <w:color w:val="000000"/>
          <w:sz w:val="32"/>
          <w:szCs w:val="32"/>
          <w:lang w:eastAsia="zh-CN"/>
        </w:rPr>
        <w:t>法治政府建设</w:t>
      </w:r>
      <w:r>
        <w:rPr>
          <w:rFonts w:ascii="仿宋_GB2312" w:eastAsia="仿宋_GB2312" w:hAnsi="仿宋_GB2312" w:cs="仿宋_GB2312" w:hint="eastAsia"/>
          <w:color w:val="000000"/>
          <w:sz w:val="32"/>
          <w:szCs w:val="32"/>
        </w:rPr>
        <w:t>领导小组</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lang w:val="en-US" w:eastAsia="zh-CN"/>
        </w:rPr>
        <w:t>根据《法治政府建设实施纲要（</w:t>
      </w:r>
      <w:r>
        <w:rPr>
          <w:rFonts w:ascii="Times New Roman" w:eastAsia="仿宋_GB2312" w:hAnsi="Times New Roman" w:cs="Times New Roman" w:hint="default"/>
          <w:color w:val="000000"/>
          <w:sz w:val="32"/>
          <w:szCs w:val="32"/>
          <w:lang w:val="en-US" w:eastAsia="zh-CN"/>
        </w:rPr>
        <w:t>2021</w:t>
      </w:r>
      <w:r>
        <w:rPr>
          <w:rFonts w:ascii="Times New Roman" w:eastAsia="仿宋_GB2312" w:hAnsi="Times New Roman" w:cs="Times New Roman" w:hint="eastAsia"/>
          <w:color w:val="000000"/>
          <w:sz w:val="32"/>
          <w:szCs w:val="32"/>
          <w:lang w:val="en-US" w:eastAsia="zh-CN"/>
        </w:rPr>
        <w:t>—</w:t>
      </w:r>
      <w:r>
        <w:rPr>
          <w:rFonts w:ascii="Times New Roman" w:eastAsia="仿宋_GB2312" w:hAnsi="Times New Roman" w:cs="Times New Roman" w:hint="default"/>
          <w:color w:val="000000"/>
          <w:sz w:val="32"/>
          <w:szCs w:val="32"/>
          <w:lang w:val="en-US" w:eastAsia="zh-CN"/>
        </w:rPr>
        <w:t>2025</w:t>
      </w:r>
      <w:r>
        <w:rPr>
          <w:rFonts w:ascii="仿宋_GB2312" w:eastAsia="仿宋_GB2312" w:hAnsi="仿宋_GB2312" w:cs="仿宋_GB2312" w:hint="eastAsia"/>
          <w:color w:val="000000"/>
          <w:sz w:val="32"/>
          <w:szCs w:val="32"/>
          <w:lang w:val="en-US" w:eastAsia="zh-CN"/>
        </w:rPr>
        <w:t>年）》文件要求</w:t>
      </w:r>
      <w:r>
        <w:rPr>
          <w:rFonts w:ascii="仿宋_GB2312" w:eastAsia="仿宋_GB2312" w:hAnsi="仿宋_GB2312" w:cs="仿宋_GB2312" w:hint="eastAsia"/>
          <w:color w:val="000000"/>
          <w:sz w:val="32"/>
          <w:szCs w:val="32"/>
        </w:rPr>
        <w:t>组织实施</w:t>
      </w:r>
      <w:r>
        <w:rPr>
          <w:rFonts w:ascii="仿宋_GB2312" w:eastAsia="仿宋_GB2312" w:hAnsi="仿宋_GB2312" w:cs="仿宋_GB2312" w:hint="eastAsia"/>
          <w:color w:val="000000"/>
          <w:sz w:val="32"/>
          <w:szCs w:val="32"/>
          <w:lang w:val="en-US" w:eastAsia="zh-CN"/>
        </w:rPr>
        <w:t>各项工作。</w:t>
      </w:r>
      <w:r>
        <w:rPr>
          <w:rFonts w:ascii="仿宋_GB2312" w:eastAsia="仿宋_GB2312" w:hAnsi="仿宋_GB2312" w:cs="仿宋_GB2312" w:hint="eastAsia"/>
          <w:b/>
          <w:bCs/>
          <w:color w:val="000000"/>
          <w:sz w:val="32"/>
          <w:szCs w:val="32"/>
          <w:lang w:val="en-US" w:eastAsia="zh-CN"/>
        </w:rPr>
        <w:t>二是</w:t>
      </w:r>
      <w:r>
        <w:rPr>
          <w:rFonts w:ascii="仿宋_GB2312" w:eastAsia="仿宋_GB2312" w:hAnsi="仿宋_GB2312" w:cs="仿宋_GB2312" w:hint="eastAsia"/>
          <w:color w:val="000000"/>
          <w:sz w:val="32"/>
          <w:szCs w:val="32"/>
          <w:lang w:val="en-US" w:eastAsia="zh-CN"/>
        </w:rPr>
        <w:t>建立健全行政决策制度体系。健全科学民主依法决策机制，规范重大行政决策行为，提高决策质量，保证决策效率，结合城市管理局工作实际，修订《乌苏市城市管理局重大复杂案件集体讨论制度》。</w:t>
      </w:r>
      <w:r>
        <w:rPr>
          <w:rFonts w:ascii="仿宋_GB2312" w:eastAsia="仿宋_GB2312" w:hAnsi="仿宋_GB2312" w:cs="仿宋_GB2312" w:hint="eastAsia"/>
          <w:b/>
          <w:bCs/>
          <w:color w:val="000000"/>
          <w:sz w:val="32"/>
          <w:szCs w:val="32"/>
          <w:lang w:val="en-US" w:eastAsia="zh-CN"/>
        </w:rPr>
        <w:t>三是</w:t>
      </w:r>
      <w:r>
        <w:rPr>
          <w:rFonts w:ascii="仿宋_GB2312" w:eastAsia="仿宋_GB2312" w:hAnsi="仿宋_GB2312" w:cs="仿宋_GB2312" w:hint="eastAsia"/>
          <w:color w:val="000000"/>
          <w:sz w:val="32"/>
          <w:szCs w:val="32"/>
          <w:lang w:val="en-US" w:eastAsia="zh-CN"/>
        </w:rPr>
        <w:t>推进规范性文件合法性审核制度。认真开展了行政规范性文件自查自纠工作，通过自查，城市管理局不</w:t>
      </w:r>
      <w:r>
        <w:rPr>
          <w:rFonts w:ascii="仿宋_GB2312" w:eastAsia="仿宋_GB2312" w:hAnsi="仿宋_GB2312" w:cs="仿宋_GB2312" w:hint="eastAsia"/>
          <w:sz w:val="32"/>
          <w:szCs w:val="32"/>
          <w:lang w:val="en-US" w:eastAsia="zh-CN"/>
        </w:rPr>
        <w:t>存在违反法律法规和国家政策、侵犯群众合法权益的文件、无越权发文、乱发文等问题。</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40" w:lineRule="exact"/>
        <w:ind w:left="0" w:firstLine="640" w:leftChars="0" w:firstLineChars="200"/>
        <w:textAlignment w:val="auto"/>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pPr>
      <w:r>
        <w:rPr>
          <w:rFonts w:ascii="楷体_GB2312" w:eastAsia="楷体_GB2312" w:hAnsi="楷体_GB2312" w:cs="楷体_GB2312" w:hint="eastAsia"/>
          <w:b/>
          <w:bCs/>
          <w:color w:val="000000"/>
          <w:kern w:val="2"/>
          <w:sz w:val="32"/>
          <w:szCs w:val="32"/>
          <w:lang w:val="en-US" w:eastAsia="zh-CN" w:bidi="ar-SA"/>
        </w:rPr>
        <w:t>（二）理论学习开展情况。</w:t>
      </w:r>
      <w:r>
        <w:rPr>
          <w:rFonts w:ascii="Times New Roman" w:eastAsia="仿宋_GB2312" w:hAnsi="Times New Roman" w:cs="Times New Roman" w:hint="eastAsia"/>
          <w:color w:val="000000" w:themeColor="text1"/>
          <w:sz w:val="32"/>
          <w:szCs w:val="32"/>
          <w:lang w:eastAsia="zh-CN"/>
          <w14:textFill>
            <w14:solidFill>
              <w14:schemeClr w14:val="tx1"/>
            </w14:solidFill>
          </w14:textFill>
        </w:rPr>
        <w:t>城市管理</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局党组</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理论学习中心组</w:t>
      </w:r>
      <w:r>
        <w:rPr>
          <w:rFonts w:ascii="Times New Roman" w:eastAsia="仿宋_GB2312" w:hAnsi="Times New Roman" w:cs="Times New Roman" w:hint="default"/>
          <w:b w:val="0"/>
          <w:bCs w:val="0"/>
          <w:caps w:val="0"/>
          <w:smallCaps w:val="0"/>
          <w:vanish w:val="0"/>
          <w:color w:val="000000" w:themeColor="text1"/>
          <w:kern w:val="2"/>
          <w:sz w:val="32"/>
          <w:szCs w:val="32"/>
          <w:lang w:val="en-US" w:eastAsia="zh-CN"/>
          <w14:textFill>
            <w14:solidFill>
              <w14:schemeClr w14:val="tx1"/>
            </w14:solidFill>
          </w14:textFill>
        </w:rPr>
        <w:t>深入学习贯彻习近平法治思想，学习</w:t>
      </w:r>
      <w:r>
        <w:rPr>
          <w:rFonts w:ascii="Times New Roman" w:eastAsia="仿宋_GB2312" w:hAnsi="Times New Roman" w:cs="Times New Roman" w:hint="eastAsia"/>
          <w:b w:val="0"/>
          <w:bCs w:val="0"/>
          <w:caps w:val="0"/>
          <w:smallCaps w:val="0"/>
          <w:vanish w:val="0"/>
          <w:color w:val="000000" w:themeColor="text1"/>
          <w:kern w:val="2"/>
          <w:sz w:val="32"/>
          <w:szCs w:val="32"/>
          <w:lang w:val="en-US" w:eastAsia="zh-CN"/>
          <w14:textFill>
            <w14:solidFill>
              <w14:schemeClr w14:val="tx1"/>
            </w14:solidFill>
          </w14:textFill>
        </w:rPr>
        <w:t>《</w:t>
      </w:r>
      <w:r>
        <w:rPr>
          <w:rFonts w:ascii="Times New Roman" w:eastAsia="仿宋_GB2312" w:hAnsi="Times New Roman" w:cs="Times New Roman" w:hint="default"/>
          <w:b w:val="0"/>
          <w:bCs w:val="0"/>
          <w:caps w:val="0"/>
          <w:smallCaps w:val="0"/>
          <w:vanish w:val="0"/>
          <w:color w:val="000000" w:themeColor="text1"/>
          <w:kern w:val="2"/>
          <w:sz w:val="32"/>
          <w:szCs w:val="32"/>
          <w:lang w:val="en-US" w:eastAsia="zh-CN"/>
          <w14:textFill>
            <w14:solidFill>
              <w14:schemeClr w14:val="tx1"/>
            </w14:solidFill>
          </w14:textFill>
        </w:rPr>
        <w:t>中华人民共和国</w:t>
      </w:r>
      <w:r>
        <w:rPr>
          <w:rFonts w:ascii="Times New Roman" w:eastAsia="仿宋_GB2312" w:hAnsi="Times New Roman" w:cs="Times New Roman" w:hint="eastAsia"/>
          <w:b w:val="0"/>
          <w:bCs w:val="0"/>
          <w:caps w:val="0"/>
          <w:smallCaps w:val="0"/>
          <w:vanish w:val="0"/>
          <w:color w:val="000000" w:themeColor="text1"/>
          <w:kern w:val="2"/>
          <w:sz w:val="32"/>
          <w:szCs w:val="32"/>
          <w:lang w:val="en-US" w:eastAsia="zh-CN"/>
          <w14:textFill>
            <w14:solidFill>
              <w14:schemeClr w14:val="tx1"/>
            </w14:solidFill>
          </w14:textFill>
        </w:rPr>
        <w:t>宪法》《中国共产党章程》《中国共产党纪律处分条例》</w:t>
      </w:r>
      <w:r>
        <w:rPr>
          <w:rFonts w:ascii="Times New Roman" w:eastAsia="仿宋_GB2312" w:hAnsi="Times New Roman" w:cs="Times New Roman" w:hint="default"/>
          <w:b w:val="0"/>
          <w:bCs w:val="0"/>
          <w:caps w:val="0"/>
          <w:smallCaps w:val="0"/>
          <w:vanish w:val="0"/>
          <w:color w:val="000000" w:themeColor="text1"/>
          <w:kern w:val="2"/>
          <w:sz w:val="32"/>
          <w:szCs w:val="32"/>
          <w:lang w:val="en-US" w:eastAsia="zh-CN"/>
          <w14:textFill>
            <w14:solidFill>
              <w14:schemeClr w14:val="tx1"/>
            </w14:solidFill>
          </w14:textFill>
        </w:rPr>
        <w:t>《</w:t>
      </w:r>
      <w:r>
        <w:rPr>
          <w:rFonts w:ascii="Times New Roman" w:eastAsia="仿宋_GB2312" w:hAnsi="Times New Roman" w:cs="Times New Roman" w:hint="eastAsia"/>
          <w:b w:val="0"/>
          <w:bCs w:val="0"/>
          <w:caps w:val="0"/>
          <w:smallCaps w:val="0"/>
          <w:vanish w:val="0"/>
          <w:color w:val="000000" w:themeColor="text1"/>
          <w:kern w:val="2"/>
          <w:sz w:val="32"/>
          <w:szCs w:val="32"/>
          <w:lang w:val="en-US" w:eastAsia="zh-CN"/>
          <w14:textFill>
            <w14:solidFill>
              <w14:schemeClr w14:val="tx1"/>
            </w14:solidFill>
          </w14:textFill>
        </w:rPr>
        <w:t>中国共产党廉洁自律准则</w:t>
      </w:r>
      <w:r>
        <w:rPr>
          <w:rFonts w:ascii="Times New Roman" w:eastAsia="仿宋_GB2312" w:hAnsi="Times New Roman" w:cs="Times New Roman" w:hint="default"/>
          <w:b w:val="0"/>
          <w:bCs w:val="0"/>
          <w:caps w:val="0"/>
          <w:smallCaps w:val="0"/>
          <w:vanish w:val="0"/>
          <w:color w:val="000000" w:themeColor="text1"/>
          <w:kern w:val="2"/>
          <w:sz w:val="32"/>
          <w:szCs w:val="32"/>
          <w:lang w:val="en-US" w:eastAsia="zh-CN"/>
          <w14:textFill>
            <w14:solidFill>
              <w14:schemeClr w14:val="tx1"/>
            </w14:solidFill>
          </w14:textFill>
        </w:rPr>
        <w:t>》</w:t>
      </w:r>
      <w:r>
        <w:rPr>
          <w:rFonts w:ascii="Times New Roman" w:eastAsia="仿宋_GB2312" w:hAnsi="Times New Roman" w:cs="Times New Roman" w:hint="eastAsia"/>
          <w:b w:val="0"/>
          <w:bCs w:val="0"/>
          <w:caps w:val="0"/>
          <w:smallCaps w:val="0"/>
          <w:vanish w:val="0"/>
          <w:color w:val="000000" w:themeColor="text1"/>
          <w:kern w:val="2"/>
          <w:sz w:val="32"/>
          <w:szCs w:val="32"/>
          <w:lang w:val="en-US" w:eastAsia="zh-CN"/>
          <w14:textFill>
            <w14:solidFill>
              <w14:schemeClr w14:val="tx1"/>
            </w14:solidFill>
          </w14:textFill>
        </w:rPr>
        <w:t>《关于新形势下党内政治生活的若干准则》</w:t>
      </w:r>
      <w:r>
        <w:rPr>
          <w:rFonts w:ascii="Times New Roman" w:eastAsia="仿宋_GB2312" w:hAnsi="Times New Roman" w:cs="Times New Roman" w:hint="default"/>
          <w:b w:val="0"/>
          <w:bCs w:val="0"/>
          <w:caps w:val="0"/>
          <w:smallCaps w:val="0"/>
          <w:vanish w:val="0"/>
          <w:color w:val="auto"/>
          <w:kern w:val="2"/>
          <w:sz w:val="32"/>
          <w:szCs w:val="32"/>
          <w:lang w:val="en-US" w:eastAsia="zh-CN"/>
        </w:rPr>
        <w:t>《中华人民共和国</w:t>
      </w:r>
      <w:r>
        <w:rPr>
          <w:rFonts w:ascii="Times New Roman" w:eastAsia="仿宋_GB2312" w:hAnsi="Times New Roman" w:cs="Times New Roman" w:hint="eastAsia"/>
          <w:b w:val="0"/>
          <w:bCs w:val="0"/>
          <w:caps w:val="0"/>
          <w:smallCaps w:val="0"/>
          <w:vanish w:val="0"/>
          <w:color w:val="auto"/>
          <w:kern w:val="2"/>
          <w:sz w:val="32"/>
          <w:szCs w:val="32"/>
          <w:lang w:val="en-US" w:eastAsia="zh-CN"/>
        </w:rPr>
        <w:t>保守国家秘密法</w:t>
      </w:r>
      <w:r>
        <w:rPr>
          <w:rFonts w:ascii="Times New Roman" w:eastAsia="仿宋_GB2312" w:hAnsi="Times New Roman" w:cs="Times New Roman" w:hint="default"/>
          <w:b w:val="0"/>
          <w:bCs w:val="0"/>
          <w:caps w:val="0"/>
          <w:smallCaps w:val="0"/>
          <w:vanish w:val="0"/>
          <w:color w:val="auto"/>
          <w:kern w:val="2"/>
          <w:sz w:val="32"/>
          <w:szCs w:val="32"/>
          <w:lang w:val="en-US" w:eastAsia="zh-CN"/>
        </w:rPr>
        <w:t>》</w:t>
      </w:r>
      <w:r>
        <w:rPr>
          <w:rFonts w:ascii="Times New Roman" w:eastAsia="仿宋_GB2312" w:hAnsi="Times New Roman" w:cs="Times New Roman" w:hint="eastAsia"/>
          <w:b w:val="0"/>
          <w:bCs w:val="0"/>
          <w:caps w:val="0"/>
          <w:smallCaps w:val="0"/>
          <w:vanish w:val="0"/>
          <w:color w:val="auto"/>
          <w:kern w:val="2"/>
          <w:sz w:val="32"/>
          <w:szCs w:val="32"/>
          <w:lang w:val="en-US" w:eastAsia="zh-CN"/>
        </w:rPr>
        <w:t>《中华人民共和国档案法实施条例》</w:t>
      </w:r>
      <w:r>
        <w:rPr>
          <w:rFonts w:ascii="Times New Roman" w:eastAsia="仿宋_GB2312" w:hAnsi="Times New Roman" w:cs="Times New Roman" w:hint="default"/>
          <w:b w:val="0"/>
          <w:bCs w:val="0"/>
          <w:caps w:val="0"/>
          <w:smallCaps w:val="0"/>
          <w:vanish w:val="0"/>
          <w:color w:val="000000" w:themeColor="text1"/>
          <w:kern w:val="2"/>
          <w:sz w:val="32"/>
          <w:szCs w:val="32"/>
          <w:lang w:val="en-US" w:eastAsia="zh-CN"/>
          <w14:textFill>
            <w14:solidFill>
              <w14:schemeClr w14:val="tx1"/>
            </w14:solidFill>
          </w14:textFill>
        </w:rPr>
        <w:t>等法律法规。</w:t>
      </w:r>
      <w:r>
        <w:rPr>
          <w:rFonts w:ascii="Times New Roman" w:eastAsia="仿宋_GB2312" w:hAnsi="Times New Roman" w:cs="Times New Roman" w:hint="eastAsia"/>
          <w:b w:val="0"/>
          <w:bCs w:val="0"/>
          <w:caps w:val="0"/>
          <w:smallCaps w:val="0"/>
          <w:vanish w:val="0"/>
          <w:color w:val="000000" w:themeColor="text1"/>
          <w:kern w:val="2"/>
          <w:sz w:val="32"/>
          <w:szCs w:val="32"/>
          <w:lang w:val="en-US" w:eastAsia="zh-CN"/>
          <w14:textFill>
            <w14:solidFill>
              <w14:schemeClr w14:val="tx1"/>
            </w14:solidFill>
          </w14:textFill>
        </w:rPr>
        <w:t>领导带头开展</w:t>
      </w:r>
      <w:r>
        <w:rPr>
          <w:rFonts w:ascii="Times New Roman" w:eastAsia="仿宋_GB2312" w:hAnsi="Times New Roman" w:cs="Times New Roman" w:hint="default"/>
          <w:b w:val="0"/>
          <w:bCs w:val="0"/>
          <w:caps w:val="0"/>
          <w:smallCaps w:val="0"/>
          <w:vanish w:val="0"/>
          <w:color w:val="000000" w:themeColor="text1"/>
          <w:kern w:val="2"/>
          <w:sz w:val="32"/>
          <w:szCs w:val="32"/>
          <w:lang w:val="en-US" w:eastAsia="zh-CN"/>
          <w14:textFill>
            <w14:solidFill>
              <w14:schemeClr w14:val="tx1"/>
            </w14:solidFill>
          </w14:textFill>
        </w:rPr>
        <w:t>法治</w:t>
      </w:r>
      <w:r>
        <w:rPr>
          <w:rFonts w:ascii="Times New Roman" w:eastAsia="仿宋_GB2312" w:hAnsi="Times New Roman" w:cs="Times New Roman" w:hint="eastAsia"/>
          <w:b w:val="0"/>
          <w:bCs w:val="0"/>
          <w:caps w:val="0"/>
          <w:smallCaps w:val="0"/>
          <w:vanish w:val="0"/>
          <w:color w:val="000000" w:themeColor="text1"/>
          <w:kern w:val="2"/>
          <w:sz w:val="32"/>
          <w:szCs w:val="32"/>
          <w:lang w:val="en-US" w:eastAsia="zh-CN"/>
          <w14:textFill>
            <w14:solidFill>
              <w14:schemeClr w14:val="tx1"/>
            </w14:solidFill>
          </w14:textFill>
        </w:rPr>
        <w:t>学习</w:t>
      </w:r>
      <w:r>
        <w:rPr>
          <w:rFonts w:ascii="Times New Roman" w:eastAsia="仿宋_GB2312" w:hAnsi="Times New Roman" w:cs="Times New Roman" w:hint="eastAsia"/>
          <w:color w:val="000000"/>
          <w:kern w:val="2"/>
          <w:sz w:val="32"/>
          <w:szCs w:val="32"/>
          <w:lang w:val="en-US" w:eastAsia="zh-CN" w:bidi="ar-SA"/>
        </w:rPr>
        <w:t>2</w:t>
      </w:r>
      <w:r>
        <w:rPr>
          <w:rFonts w:ascii="Times New Roman" w:eastAsia="仿宋_GB2312" w:hAnsi="Times New Roman" w:cs="Times New Roman" w:hint="default"/>
          <w:b w:val="0"/>
          <w:bCs w:val="0"/>
          <w:caps w:val="0"/>
          <w:smallCaps w:val="0"/>
          <w:vanish w:val="0"/>
          <w:color w:val="000000" w:themeColor="text1"/>
          <w:kern w:val="2"/>
          <w:sz w:val="32"/>
          <w:szCs w:val="32"/>
          <w:lang w:val="en-US" w:eastAsia="zh-CN"/>
          <w14:textFill>
            <w14:solidFill>
              <w14:schemeClr w14:val="tx1"/>
            </w14:solidFill>
          </w14:textFill>
        </w:rPr>
        <w:t>次，</w:t>
      </w:r>
      <w:r>
        <w:rPr>
          <w:rFonts w:ascii="Times New Roman" w:eastAsia="仿宋_GB2312" w:hAnsi="Times New Roman" w:cs="Times New Roman" w:hint="eastAsia"/>
          <w:b w:val="0"/>
          <w:bCs w:val="0"/>
          <w:caps w:val="0"/>
          <w:smallCaps w:val="0"/>
          <w:vanish w:val="0"/>
          <w:color w:val="000000" w:themeColor="text1"/>
          <w:kern w:val="2"/>
          <w:sz w:val="32"/>
          <w:szCs w:val="32"/>
          <w:lang w:val="en-US" w:eastAsia="zh-CN"/>
          <w14:textFill>
            <w14:solidFill>
              <w14:schemeClr w14:val="tx1"/>
            </w14:solidFill>
          </w14:textFill>
        </w:rPr>
        <w:t>干部理论学习40余次，</w:t>
      </w:r>
      <w:r>
        <w:rPr>
          <w:rFonts w:ascii="Times New Roman" w:eastAsia="仿宋_GB2312" w:hAnsi="Times New Roman" w:cs="Times New Roman" w:hint="default"/>
          <w:b w:val="0"/>
          <w:bCs w:val="0"/>
          <w:caps w:val="0"/>
          <w:smallCaps w:val="0"/>
          <w:vanish w:val="0"/>
          <w:color w:val="000000" w:themeColor="text1"/>
          <w:kern w:val="2"/>
          <w:sz w:val="32"/>
          <w:szCs w:val="32"/>
          <w:lang w:val="en-US" w:eastAsia="zh-CN"/>
          <w14:textFill>
            <w14:solidFill>
              <w14:schemeClr w14:val="tx1"/>
            </w14:solidFill>
          </w14:textFill>
        </w:rPr>
        <w:t>开展“</w:t>
      </w:r>
      <w:r>
        <w:rPr>
          <w:rFonts w:ascii="Times New Roman" w:eastAsia="仿宋_GB2312" w:hAnsi="Times New Roman" w:cs="Times New Roman" w:hint="default"/>
          <w:color w:val="000000"/>
          <w:kern w:val="2"/>
          <w:sz w:val="32"/>
          <w:szCs w:val="32"/>
          <w:lang w:val="en-US" w:eastAsia="zh-CN" w:bidi="ar-SA"/>
        </w:rPr>
        <w:t>4·15”</w:t>
      </w:r>
      <w:r>
        <w:rPr>
          <w:rFonts w:ascii="Times New Roman" w:eastAsia="仿宋_GB2312" w:hAnsi="Times New Roman" w:cs="Times New Roman" w:hint="default"/>
          <w:b w:val="0"/>
          <w:bCs w:val="0"/>
          <w:caps w:val="0"/>
          <w:smallCaps w:val="0"/>
          <w:vanish w:val="0"/>
          <w:color w:val="000000" w:themeColor="text1"/>
          <w:kern w:val="2"/>
          <w:sz w:val="32"/>
          <w:szCs w:val="32"/>
          <w:lang w:val="en-US" w:eastAsia="zh-CN"/>
          <w14:textFill>
            <w14:solidFill>
              <w14:schemeClr w14:val="tx1"/>
            </w14:solidFill>
          </w14:textFill>
        </w:rPr>
        <w:t>全民国家</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安全教育日</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法治宣传教育</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活</w:t>
      </w:r>
      <w:r>
        <w:rPr>
          <w:rFonts w:ascii="Times New Roman" w:eastAsia="仿宋_GB2312" w:hAnsi="Times New Roman" w:cs="Times New Roman" w:hint="default"/>
          <w:color w:val="auto"/>
          <w:sz w:val="32"/>
          <w:szCs w:val="32"/>
          <w:lang w:val="en-US" w:eastAsia="zh-CN"/>
        </w:rPr>
        <w:t>动</w:t>
      </w:r>
      <w:r>
        <w:rPr>
          <w:rFonts w:ascii="Times New Roman" w:eastAsia="仿宋_GB2312" w:hAnsi="Times New Roman" w:cs="Times New Roman" w:hint="default"/>
          <w:color w:val="000000"/>
          <w:kern w:val="2"/>
          <w:sz w:val="32"/>
          <w:szCs w:val="32"/>
          <w:lang w:val="en-US" w:eastAsia="zh-CN" w:bidi="ar-SA"/>
        </w:rPr>
        <w:t>1</w:t>
      </w:r>
      <w:r>
        <w:rPr>
          <w:rFonts w:ascii="Times New Roman" w:eastAsia="仿宋_GB2312" w:hAnsi="Times New Roman" w:cs="Times New Roman" w:hint="default"/>
          <w:color w:val="auto"/>
          <w:sz w:val="32"/>
          <w:szCs w:val="32"/>
          <w:lang w:val="en-US" w:eastAsia="zh-CN"/>
        </w:rPr>
        <w:t>次，参加“新疆智慧普法依法治理云平台”“</w:t>
      </w:r>
      <w:r>
        <w:rPr>
          <w:rFonts w:ascii="Times New Roman" w:eastAsia="仿宋_GB2312" w:hAnsi="Times New Roman" w:cs="Times New Roman" w:hint="default"/>
          <w:color w:val="000000"/>
          <w:kern w:val="2"/>
          <w:sz w:val="32"/>
          <w:szCs w:val="32"/>
          <w:lang w:val="en-US" w:eastAsia="zh-CN" w:bidi="ar-SA"/>
        </w:rPr>
        <w:t>4·15</w:t>
      </w:r>
      <w:r>
        <w:rPr>
          <w:rFonts w:ascii="Times New Roman" w:eastAsia="仿宋_GB2312" w:hAnsi="Times New Roman" w:cs="Times New Roman" w:hint="default"/>
          <w:color w:val="auto"/>
          <w:sz w:val="32"/>
          <w:szCs w:val="32"/>
          <w:lang w:val="en-US" w:eastAsia="zh-CN"/>
        </w:rPr>
        <w:t>”全民国家安全教育日无纸化答题活动</w:t>
      </w:r>
      <w:r>
        <w:rPr>
          <w:rFonts w:ascii="Times New Roman" w:eastAsia="仿宋_GB2312" w:hAnsi="Times New Roman" w:cs="Times New Roman" w:hint="default"/>
          <w:color w:val="000000"/>
          <w:kern w:val="2"/>
          <w:sz w:val="32"/>
          <w:szCs w:val="32"/>
          <w:lang w:val="en-US" w:eastAsia="zh-CN" w:bidi="ar-SA"/>
        </w:rPr>
        <w:t>1</w:t>
      </w:r>
      <w:r>
        <w:rPr>
          <w:rFonts w:ascii="Times New Roman" w:eastAsia="仿宋_GB2312" w:hAnsi="Times New Roman" w:cs="Times New Roman" w:hint="default"/>
          <w:color w:val="auto"/>
          <w:sz w:val="32"/>
          <w:szCs w:val="32"/>
          <w:lang w:val="en-US" w:eastAsia="zh-CN"/>
        </w:rPr>
        <w:t>次</w:t>
      </w:r>
      <w:r>
        <w:rPr>
          <w:rFonts w:ascii="Times New Roman" w:eastAsia="仿宋_GB2312" w:hAnsi="Times New Roman" w:cs="Times New Roman" w:hint="eastAsia"/>
          <w:color w:val="auto"/>
          <w:sz w:val="32"/>
          <w:szCs w:val="32"/>
          <w:lang w:val="en-US" w:eastAsia="zh-CN"/>
        </w:rPr>
        <w:t>；参加国家保密观无纸化答题活动</w:t>
      </w:r>
      <w:r>
        <w:rPr>
          <w:rFonts w:ascii="Times New Roman" w:eastAsia="仿宋_GB2312" w:hAnsi="Times New Roman" w:cs="Times New Roman" w:hint="eastAsia"/>
          <w:color w:val="000000"/>
          <w:kern w:val="2"/>
          <w:sz w:val="32"/>
          <w:szCs w:val="32"/>
          <w:lang w:val="en-US" w:eastAsia="zh-CN" w:bidi="ar-SA"/>
        </w:rPr>
        <w:t>1</w:t>
      </w:r>
      <w:r>
        <w:rPr>
          <w:rFonts w:ascii="Times New Roman" w:eastAsia="仿宋_GB2312" w:hAnsi="Times New Roman" w:cs="Times New Roman" w:hint="eastAsia"/>
          <w:color w:val="auto"/>
          <w:sz w:val="32"/>
          <w:szCs w:val="32"/>
          <w:lang w:val="en-US" w:eastAsia="zh-CN"/>
        </w:rPr>
        <w:t>次，</w:t>
      </w:r>
      <w:r>
        <w:rPr>
          <w:rFonts w:ascii="Times New Roman" w:eastAsia="仿宋_GB2312" w:hAnsi="Times New Roman" w:cs="Times New Roman" w:hint="eastAsia"/>
          <w:color w:val="000000"/>
          <w:kern w:val="2"/>
          <w:sz w:val="32"/>
          <w:szCs w:val="32"/>
          <w:lang w:val="en-US" w:eastAsia="zh-CN" w:bidi="ar-SA"/>
        </w:rPr>
        <w:t>2024</w:t>
      </w:r>
      <w:r>
        <w:rPr>
          <w:rFonts w:ascii="Times New Roman" w:eastAsia="仿宋_GB2312" w:hAnsi="Times New Roman" w:cs="Times New Roman" w:hint="eastAsia"/>
          <w:color w:val="auto"/>
          <w:sz w:val="32"/>
          <w:szCs w:val="32"/>
          <w:lang w:val="en-US" w:eastAsia="zh-CN"/>
        </w:rPr>
        <w:t>年度塔城地区国家工作人员网络学法考试</w:t>
      </w:r>
      <w:r>
        <w:rPr>
          <w:rFonts w:ascii="Times New Roman" w:eastAsia="仿宋_GB2312" w:hAnsi="Times New Roman" w:cs="Times New Roman" w:hint="eastAsia"/>
          <w:color w:val="000000"/>
          <w:kern w:val="2"/>
          <w:sz w:val="32"/>
          <w:szCs w:val="32"/>
          <w:lang w:val="en-US" w:eastAsia="zh-CN" w:bidi="ar-SA"/>
        </w:rPr>
        <w:t>1</w:t>
      </w:r>
      <w:r>
        <w:rPr>
          <w:rFonts w:ascii="Times New Roman" w:eastAsia="仿宋_GB2312" w:hAnsi="Times New Roman" w:cs="Times New Roman" w:hint="eastAsia"/>
          <w:color w:val="auto"/>
          <w:sz w:val="32"/>
          <w:szCs w:val="32"/>
          <w:lang w:val="en-US" w:eastAsia="zh-CN"/>
        </w:rPr>
        <w:t>次等，每次考试</w:t>
      </w:r>
      <w:r>
        <w:rPr>
          <w:rFonts w:ascii="Times New Roman" w:eastAsia="仿宋_GB2312" w:hAnsi="Times New Roman" w:cs="Times New Roman" w:hint="default"/>
          <w:color w:val="auto"/>
          <w:sz w:val="32"/>
          <w:szCs w:val="32"/>
          <w:lang w:val="en-US" w:eastAsia="zh-CN"/>
        </w:rPr>
        <w:t>参加人数</w:t>
      </w:r>
      <w:r>
        <w:rPr>
          <w:rFonts w:ascii="Times New Roman" w:eastAsia="仿宋_GB2312" w:hAnsi="Times New Roman" w:cs="Times New Roman" w:hint="eastAsia"/>
          <w:color w:val="000000"/>
          <w:kern w:val="2"/>
          <w:sz w:val="32"/>
          <w:szCs w:val="32"/>
          <w:lang w:val="en-US" w:eastAsia="zh-CN" w:bidi="ar-SA"/>
        </w:rPr>
        <w:t>55</w:t>
      </w:r>
      <w:r>
        <w:rPr>
          <w:rFonts w:ascii="Times New Roman" w:eastAsia="仿宋_GB2312" w:hAnsi="Times New Roman" w:cs="Times New Roman" w:hint="default"/>
          <w:color w:val="auto"/>
          <w:sz w:val="32"/>
          <w:szCs w:val="32"/>
          <w:lang w:val="en-US" w:eastAsia="zh-CN"/>
        </w:rPr>
        <w:t>人，</w:t>
      </w:r>
      <w:r>
        <w:rPr>
          <w:rFonts w:ascii="Times New Roman" w:eastAsia="仿宋_GB2312" w:hAnsi="Times New Roman" w:cs="Times New Roman" w:hint="eastAsia"/>
          <w:color w:val="auto"/>
          <w:sz w:val="32"/>
          <w:szCs w:val="32"/>
          <w:lang w:val="en-US" w:eastAsia="zh-CN"/>
        </w:rPr>
        <w:t>成绩均合格</w:t>
      </w:r>
      <w:r>
        <w:rPr>
          <w:rFonts w:ascii="Times New Roman" w:eastAsia="仿宋_GB2312" w:hAnsi="Times New Roman" w:cs="Times New Roman" w:hint="default"/>
          <w:color w:val="auto"/>
          <w:sz w:val="32"/>
          <w:szCs w:val="32"/>
          <w:lang w:val="en-US" w:eastAsia="zh-CN"/>
        </w:rPr>
        <w:t>；</w:t>
      </w:r>
      <w:r>
        <w:rPr>
          <w:rFonts w:ascii="Times New Roman" w:eastAsia="仿宋_GB2312" w:hAnsi="Times New Roman" w:cs="Times New Roman" w:hint="default"/>
          <w:color w:val="000000"/>
          <w:kern w:val="2"/>
          <w:sz w:val="32"/>
          <w:szCs w:val="32"/>
          <w:lang w:val="en-US" w:eastAsia="zh-CN" w:bidi="ar-SA"/>
        </w:rPr>
        <w:t>202</w:t>
      </w:r>
      <w:r>
        <w:rPr>
          <w:rFonts w:ascii="Times New Roman" w:eastAsia="仿宋_GB2312" w:hAnsi="Times New Roman" w:cs="Times New Roman" w:hint="eastAsia"/>
          <w:color w:val="000000"/>
          <w:kern w:val="2"/>
          <w:sz w:val="32"/>
          <w:szCs w:val="32"/>
          <w:lang w:val="en-US" w:eastAsia="zh-CN" w:bidi="ar-SA"/>
        </w:rPr>
        <w:t>4</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年</w:t>
      </w:r>
      <w:r>
        <w:rPr>
          <w:rFonts w:ascii="Times New Roman" w:eastAsia="仿宋_GB2312" w:hAnsi="Times New Roman" w:cs="Times New Roman" w:hint="default"/>
          <w:color w:val="000000"/>
          <w:kern w:val="2"/>
          <w:sz w:val="32"/>
          <w:szCs w:val="32"/>
          <w:lang w:val="en-US" w:eastAsia="zh-CN" w:bidi="ar-SA"/>
        </w:rPr>
        <w:t>1</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月以来，组织</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城市管理</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局科级领导干部参加自治区“法治宣讲</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逢九必讲”法治培训学习共</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计</w:t>
      </w:r>
      <w:r>
        <w:rPr>
          <w:rFonts w:ascii="Times New Roman" w:eastAsia="仿宋_GB2312" w:hAnsi="Times New Roman" w:cs="Times New Roman" w:hint="eastAsia"/>
          <w:color w:val="000000"/>
          <w:kern w:val="2"/>
          <w:sz w:val="32"/>
          <w:szCs w:val="32"/>
          <w:lang w:val="en-US" w:eastAsia="zh-CN" w:bidi="ar-SA"/>
        </w:rPr>
        <w:t>11</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次。</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pPr>
      <w:r>
        <w:rPr>
          <w:rFonts w:ascii="楷体_GB2312" w:eastAsia="楷体_GB2312" w:hAnsi="楷体_GB2312" w:cs="楷体_GB2312" w:hint="eastAsia"/>
          <w:b/>
          <w:bCs/>
          <w:color w:val="000000"/>
          <w:kern w:val="2"/>
          <w:sz w:val="32"/>
          <w:szCs w:val="32"/>
          <w:lang w:val="en-US" w:eastAsia="zh-CN" w:bidi="ar-SA"/>
        </w:rPr>
        <w:t>（三）“一规划两纲要”落实情况。</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通过学习《法治政府建设实施纲要（</w:t>
      </w:r>
      <w:r>
        <w:rPr>
          <w:rFonts w:ascii="Times New Roman" w:eastAsia="仿宋_GB2312" w:hAnsi="Times New Roman" w:cs="Times New Roman" w:hint="default"/>
          <w:color w:val="000000"/>
          <w:sz w:val="32"/>
          <w:szCs w:val="32"/>
          <w:lang w:val="en-US" w:eastAsia="zh-CN"/>
        </w:rPr>
        <w:t>2021</w:t>
      </w:r>
      <w:r>
        <w:rPr>
          <w:rFonts w:ascii="Times New Roman" w:eastAsia="仿宋_GB2312" w:hAnsi="Times New Roman" w:cs="Times New Roman" w:hint="eastAsia"/>
          <w:color w:val="000000"/>
          <w:sz w:val="32"/>
          <w:szCs w:val="32"/>
          <w:lang w:val="en-US" w:eastAsia="zh-CN"/>
        </w:rPr>
        <w:t>—</w:t>
      </w:r>
      <w:r>
        <w:rPr>
          <w:rFonts w:ascii="Times New Roman" w:eastAsia="仿宋_GB2312" w:hAnsi="Times New Roman" w:cs="Times New Roman" w:hint="default"/>
          <w:color w:val="000000"/>
          <w:sz w:val="32"/>
          <w:szCs w:val="32"/>
          <w:lang w:val="en-US" w:eastAsia="zh-CN"/>
        </w:rPr>
        <w:t>2025</w:t>
      </w:r>
      <w:r>
        <w:rPr>
          <w:rFonts w:ascii="仿宋_GB2312" w:eastAsia="仿宋_GB2312" w:hAnsi="仿宋_GB2312" w:cs="仿宋_GB2312" w:hint="eastAsia"/>
          <w:color w:val="000000"/>
          <w:sz w:val="32"/>
          <w:szCs w:val="32"/>
          <w:lang w:val="en-US" w:eastAsia="zh-CN"/>
        </w:rPr>
        <w:t>年</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）》和《法治中国建设规划（</w:t>
      </w:r>
      <w:r>
        <w:rPr>
          <w:rFonts w:ascii="Times New Roman" w:eastAsia="仿宋_GB2312" w:hAnsi="Times New Roman" w:cs="Times New Roman" w:hint="default"/>
          <w:color w:val="000000"/>
          <w:sz w:val="32"/>
          <w:szCs w:val="32"/>
          <w:lang w:val="en-US" w:eastAsia="zh-CN"/>
        </w:rPr>
        <w:t>2021</w:t>
      </w:r>
      <w:r>
        <w:rPr>
          <w:rFonts w:ascii="Times New Roman" w:eastAsia="仿宋_GB2312" w:hAnsi="Times New Roman" w:cs="Times New Roman" w:hint="eastAsia"/>
          <w:color w:val="000000"/>
          <w:sz w:val="32"/>
          <w:szCs w:val="32"/>
          <w:lang w:val="en-US" w:eastAsia="zh-CN"/>
        </w:rPr>
        <w:t>—</w:t>
      </w:r>
      <w:r>
        <w:rPr>
          <w:rFonts w:ascii="Times New Roman" w:eastAsia="仿宋_GB2312" w:hAnsi="Times New Roman" w:cs="Times New Roman" w:hint="default"/>
          <w:color w:val="000000"/>
          <w:sz w:val="32"/>
          <w:szCs w:val="32"/>
          <w:lang w:val="en-US" w:eastAsia="zh-CN"/>
        </w:rPr>
        <w:t>2025</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年）》《法治社会建设实施纲要（</w:t>
      </w:r>
      <w:r>
        <w:rPr>
          <w:rFonts w:ascii="Times New Roman" w:eastAsia="仿宋_GB2312" w:hAnsi="Times New Roman" w:cs="Times New Roman" w:hint="default"/>
          <w:color w:val="000000"/>
          <w:sz w:val="32"/>
          <w:szCs w:val="32"/>
          <w:lang w:val="en-US" w:eastAsia="zh-CN"/>
        </w:rPr>
        <w:t>2020</w:t>
      </w:r>
      <w:r>
        <w:rPr>
          <w:rFonts w:ascii="Times New Roman" w:eastAsia="仿宋_GB2312" w:hAnsi="Times New Roman" w:cs="Times New Roman" w:hint="eastAsia"/>
          <w:color w:val="000000"/>
          <w:sz w:val="32"/>
          <w:szCs w:val="32"/>
          <w:lang w:val="en-US" w:eastAsia="zh-CN"/>
        </w:rPr>
        <w:t>—</w:t>
      </w:r>
      <w:r>
        <w:rPr>
          <w:rFonts w:ascii="Times New Roman" w:eastAsia="仿宋_GB2312" w:hAnsi="Times New Roman" w:cs="Times New Roman" w:hint="default"/>
          <w:color w:val="000000"/>
          <w:sz w:val="32"/>
          <w:szCs w:val="32"/>
          <w:lang w:val="en-US" w:eastAsia="zh-CN"/>
        </w:rPr>
        <w:t>2025</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年）》，不断提高干部职工政治站位，增强法治思想、法治意识，在化解社会矛盾、维护社会和谐稳定中强化法治思维，切实把自治区、</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行署及市政府</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近年来关于法治政府建设的一系列重大决策部署贯彻到依法治疆的工作实践中。</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pPr>
      <w:r>
        <w:rPr>
          <w:rFonts w:ascii="楷体_GB2312" w:eastAsia="楷体_GB2312" w:hAnsi="楷体_GB2312" w:cs="楷体_GB2312" w:hint="eastAsia"/>
          <w:b/>
          <w:bCs/>
          <w:color w:val="000000"/>
          <w:kern w:val="2"/>
          <w:sz w:val="32"/>
          <w:szCs w:val="32"/>
          <w:lang w:val="en-US" w:eastAsia="zh-CN" w:bidi="ar-SA"/>
        </w:rPr>
        <w:t>（四）推进依规治党情况。</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加强对“一把手”和领导班子落实</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全面从严治党主体责任</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、执行民主集中制、依规依法履职用权等情况的监督检查。加强新时代廉洁文化建设，整合运用廉洁教育资源。观看警示教育片</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4</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次</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不断强化干部法治思想，增强法治观念。</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pPr>
      <w:r>
        <w:rPr>
          <w:rFonts w:ascii="楷体_GB2312" w:eastAsia="楷体_GB2312" w:hAnsi="楷体_GB2312" w:cs="楷体_GB2312" w:hint="eastAsia"/>
          <w:b/>
          <w:bCs/>
          <w:color w:val="000000"/>
          <w:kern w:val="2"/>
          <w:sz w:val="32"/>
          <w:szCs w:val="32"/>
          <w:lang w:val="en-US" w:eastAsia="zh-CN" w:bidi="ar-SA"/>
        </w:rPr>
        <w:t>（五）履行推进法治建设第一责任人职责情况。</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202</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4</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年党组书记开展</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了</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领导干部述法工作，分别从学习宣传贯彻习近平法治思想情况、履行法治建设责任人职责情况、工作中存在的问题和202</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5</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年工作</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计划等多</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方面进行述</w:t>
      </w:r>
      <w:r>
        <w:rPr>
          <w:rFonts w:ascii="Times New Roman" w:eastAsia="仿宋_GB2312" w:hAnsi="Times New Roman" w:cs="Times New Roman" w:hint="eastAsia"/>
          <w:color w:val="000000" w:themeColor="text1"/>
          <w:sz w:val="32"/>
          <w:szCs w:val="32"/>
          <w:lang w:val="en-US" w:eastAsia="zh-CN"/>
          <w14:textFill>
            <w14:solidFill>
              <w14:schemeClr w14:val="tx1"/>
            </w14:solidFill>
          </w14:textFill>
        </w:rPr>
        <w:t>职报告。</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b w:val="0"/>
          <w:bCs w:val="0"/>
          <w:i w:val="0"/>
          <w:iCs w:val="0"/>
          <w:caps w:val="0"/>
          <w:color w:val="auto"/>
          <w:spacing w:val="0"/>
          <w:kern w:val="0"/>
          <w:sz w:val="32"/>
          <w:szCs w:val="32"/>
          <w:shd w:val="clear" w:color="auto" w:fill="FFFFFF"/>
          <w:lang w:val="en-US" w:eastAsia="zh-CN" w:bidi="ar"/>
        </w:rPr>
      </w:pPr>
      <w:r>
        <w:rPr>
          <w:rFonts w:ascii="楷体_GB2312" w:eastAsia="楷体_GB2312" w:hAnsi="楷体_GB2312" w:cs="楷体_GB2312" w:hint="eastAsia"/>
          <w:b/>
          <w:bCs/>
          <w:color w:val="000000"/>
          <w:kern w:val="2"/>
          <w:sz w:val="32"/>
          <w:szCs w:val="32"/>
          <w:lang w:val="en-US" w:eastAsia="zh-CN" w:bidi="ar-SA"/>
        </w:rPr>
        <w:t>（六）全面推进权责清单动态管理。</w:t>
      </w:r>
      <w:r>
        <w:rPr>
          <w:rFonts w:ascii="仿宋_GB2312" w:eastAsia="仿宋_GB2312" w:hAnsi="仿宋_GB2312" w:cs="仿宋_GB2312" w:hint="eastAsia"/>
          <w:b w:val="0"/>
          <w:bCs w:val="0"/>
          <w:i w:val="0"/>
          <w:iCs w:val="0"/>
          <w:caps w:val="0"/>
          <w:color w:val="auto"/>
          <w:spacing w:val="0"/>
          <w:kern w:val="0"/>
          <w:sz w:val="32"/>
          <w:szCs w:val="32"/>
          <w:shd w:val="clear" w:color="auto" w:fill="FFFFFF"/>
          <w:lang w:val="en-US" w:eastAsia="zh-CN" w:bidi="ar"/>
        </w:rPr>
        <w:t>依据执法权限和执法范围，完成对供热、供排水、园林绿化、市容环境等权力清单的梳理。共涉及行政处罚、行政许可等权力事项</w:t>
      </w:r>
      <w:r>
        <w:rPr>
          <w:rFonts w:ascii="Times New Roman" w:eastAsia="仿宋_GB2312" w:hAnsi="Times New Roman" w:cs="Times New Roman" w:hint="eastAsia"/>
          <w:sz w:val="32"/>
          <w:szCs w:val="32"/>
          <w:lang w:val="en-US" w:eastAsia="zh-CN"/>
        </w:rPr>
        <w:t>1</w:t>
      </w:r>
      <w:r>
        <w:rPr>
          <w:rFonts w:ascii="Times New Roman" w:eastAsia="仿宋_GB2312" w:hAnsi="Times New Roman" w:cs="Times New Roman" w:hint="eastAsia"/>
          <w:color w:val="000000" w:themeColor="text1"/>
          <w:kern w:val="2"/>
          <w:sz w:val="32"/>
          <w:szCs w:val="32"/>
          <w:lang w:val="en-US" w:eastAsia="zh-CN" w:bidi="ar-SA"/>
          <w14:textFill>
            <w14:solidFill>
              <w14:schemeClr w14:val="tx1"/>
            </w14:solidFill>
          </w14:textFill>
        </w:rPr>
        <w:t>68</w:t>
      </w:r>
      <w:r>
        <w:rPr>
          <w:rFonts w:ascii="仿宋_GB2312" w:eastAsia="仿宋_GB2312" w:hAnsi="仿宋_GB2312" w:cs="仿宋_GB2312" w:hint="eastAsia"/>
          <w:b w:val="0"/>
          <w:bCs w:val="0"/>
          <w:i w:val="0"/>
          <w:iCs w:val="0"/>
          <w:caps w:val="0"/>
          <w:color w:val="auto"/>
          <w:spacing w:val="0"/>
          <w:kern w:val="0"/>
          <w:sz w:val="32"/>
          <w:szCs w:val="32"/>
          <w:shd w:val="clear" w:color="auto" w:fill="FFFFFF"/>
          <w:lang w:val="en-US" w:eastAsia="zh-CN" w:bidi="ar"/>
        </w:rPr>
        <w:t>项。（其中，行政处罚</w:t>
      </w:r>
      <w:r>
        <w:rPr>
          <w:rFonts w:ascii="Times New Roman" w:eastAsia="仿宋_GB2312" w:hAnsi="Times New Roman" w:cs="Times New Roman" w:hint="eastAsia"/>
          <w:sz w:val="32"/>
          <w:szCs w:val="32"/>
          <w:lang w:val="en-US" w:eastAsia="zh-CN"/>
        </w:rPr>
        <w:t>138</w:t>
      </w:r>
      <w:r>
        <w:rPr>
          <w:rFonts w:ascii="仿宋_GB2312" w:eastAsia="仿宋_GB2312" w:hAnsi="仿宋_GB2312" w:cs="仿宋_GB2312" w:hint="eastAsia"/>
          <w:b w:val="0"/>
          <w:bCs w:val="0"/>
          <w:i w:val="0"/>
          <w:iCs w:val="0"/>
          <w:caps w:val="0"/>
          <w:color w:val="auto"/>
          <w:spacing w:val="0"/>
          <w:kern w:val="0"/>
          <w:sz w:val="32"/>
          <w:szCs w:val="32"/>
          <w:shd w:val="clear" w:color="auto" w:fill="FFFFFF"/>
          <w:lang w:val="en-US" w:eastAsia="zh-CN" w:bidi="ar"/>
        </w:rPr>
        <w:t>项、行政许可</w:t>
      </w:r>
      <w:r>
        <w:rPr>
          <w:rFonts w:ascii="Times New Roman" w:eastAsia="仿宋_GB2312" w:hAnsi="Times New Roman" w:cs="Times New Roman" w:hint="eastAsia"/>
          <w:sz w:val="32"/>
          <w:szCs w:val="32"/>
          <w:lang w:val="en-US" w:eastAsia="zh-CN"/>
        </w:rPr>
        <w:t>23</w:t>
      </w:r>
      <w:r>
        <w:rPr>
          <w:rFonts w:ascii="仿宋_GB2312" w:eastAsia="仿宋_GB2312" w:hAnsi="仿宋_GB2312" w:cs="仿宋_GB2312" w:hint="eastAsia"/>
          <w:b w:val="0"/>
          <w:bCs w:val="0"/>
          <w:i w:val="0"/>
          <w:iCs w:val="0"/>
          <w:caps w:val="0"/>
          <w:color w:val="auto"/>
          <w:spacing w:val="0"/>
          <w:kern w:val="0"/>
          <w:sz w:val="32"/>
          <w:szCs w:val="32"/>
          <w:shd w:val="clear" w:color="auto" w:fill="FFFFFF"/>
          <w:lang w:val="en-US" w:eastAsia="zh-CN" w:bidi="ar"/>
        </w:rPr>
        <w:t>项、行政确认</w:t>
      </w:r>
      <w:r>
        <w:rPr>
          <w:rFonts w:ascii="Times New Roman" w:eastAsia="仿宋_GB2312" w:hAnsi="Times New Roman" w:cs="Times New Roman" w:hint="eastAsia"/>
          <w:sz w:val="32"/>
          <w:szCs w:val="32"/>
          <w:lang w:val="en-US" w:eastAsia="zh-CN"/>
        </w:rPr>
        <w:t>1</w:t>
      </w:r>
      <w:r>
        <w:rPr>
          <w:rFonts w:ascii="仿宋_GB2312" w:eastAsia="仿宋_GB2312" w:hAnsi="仿宋_GB2312" w:cs="仿宋_GB2312" w:hint="eastAsia"/>
          <w:b w:val="0"/>
          <w:bCs w:val="0"/>
          <w:i w:val="0"/>
          <w:iCs w:val="0"/>
          <w:caps w:val="0"/>
          <w:color w:val="auto"/>
          <w:spacing w:val="0"/>
          <w:kern w:val="0"/>
          <w:sz w:val="32"/>
          <w:szCs w:val="32"/>
          <w:shd w:val="clear" w:color="auto" w:fill="FFFFFF"/>
          <w:lang w:val="en-US" w:eastAsia="zh-CN" w:bidi="ar"/>
        </w:rPr>
        <w:t>项、行政奖励</w:t>
      </w:r>
      <w:r>
        <w:rPr>
          <w:rFonts w:ascii="Times New Roman" w:eastAsia="仿宋_GB2312" w:hAnsi="Times New Roman" w:cs="Times New Roman" w:hint="eastAsia"/>
          <w:sz w:val="32"/>
          <w:szCs w:val="32"/>
          <w:lang w:val="en-US" w:eastAsia="zh-CN"/>
        </w:rPr>
        <w:t>4</w:t>
      </w:r>
      <w:r>
        <w:rPr>
          <w:rFonts w:ascii="仿宋_GB2312" w:eastAsia="仿宋_GB2312" w:hAnsi="仿宋_GB2312" w:cs="仿宋_GB2312" w:hint="eastAsia"/>
          <w:b w:val="0"/>
          <w:bCs w:val="0"/>
          <w:i w:val="0"/>
          <w:iCs w:val="0"/>
          <w:caps w:val="0"/>
          <w:color w:val="auto"/>
          <w:spacing w:val="0"/>
          <w:kern w:val="0"/>
          <w:sz w:val="32"/>
          <w:szCs w:val="32"/>
          <w:shd w:val="clear" w:color="auto" w:fill="FFFFFF"/>
          <w:lang w:val="en-US" w:eastAsia="zh-CN" w:bidi="ar"/>
        </w:rPr>
        <w:t>项、其他行政权力</w:t>
      </w:r>
      <w:r>
        <w:rPr>
          <w:rFonts w:ascii="Times New Roman" w:eastAsia="仿宋_GB2312" w:hAnsi="Times New Roman" w:cs="Times New Roman" w:hint="eastAsia"/>
          <w:sz w:val="32"/>
          <w:szCs w:val="32"/>
          <w:lang w:val="en-US" w:eastAsia="zh-CN"/>
        </w:rPr>
        <w:t>2</w:t>
      </w:r>
      <w:r>
        <w:rPr>
          <w:rFonts w:ascii="仿宋_GB2312" w:eastAsia="仿宋_GB2312" w:hAnsi="仿宋_GB2312" w:cs="仿宋_GB2312" w:hint="eastAsia"/>
          <w:b w:val="0"/>
          <w:bCs w:val="0"/>
          <w:i w:val="0"/>
          <w:iCs w:val="0"/>
          <w:caps w:val="0"/>
          <w:color w:val="auto"/>
          <w:spacing w:val="0"/>
          <w:kern w:val="0"/>
          <w:sz w:val="32"/>
          <w:szCs w:val="32"/>
          <w:shd w:val="clear" w:color="auto" w:fill="FFFFFF"/>
          <w:lang w:val="en-US" w:eastAsia="zh-CN" w:bidi="ar"/>
        </w:rPr>
        <w:t>项）。</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b w:val="0"/>
          <w:bCs w:val="0"/>
          <w:color w:val="auto"/>
          <w:sz w:val="32"/>
          <w:szCs w:val="32"/>
          <w:lang w:val="en-US" w:eastAsia="zh-CN"/>
        </w:rPr>
      </w:pPr>
      <w:r>
        <w:rPr>
          <w:rFonts w:ascii="楷体_GB2312" w:eastAsia="楷体_GB2312" w:hAnsi="楷体_GB2312" w:cs="楷体_GB2312" w:hint="eastAsia"/>
          <w:b/>
          <w:bCs/>
          <w:color w:val="000000"/>
          <w:kern w:val="2"/>
          <w:sz w:val="32"/>
          <w:szCs w:val="32"/>
          <w:lang w:val="en-US" w:eastAsia="zh-CN" w:bidi="ar-SA"/>
        </w:rPr>
        <w:t>（七）持续完善社会矛盾纠纷多元化预防调处化解情况。</w:t>
      </w:r>
      <w:r>
        <w:rPr>
          <w:rFonts w:ascii="楷体_GB2312" w:eastAsia="楷体_GB2312" w:hAnsi="楷体_GB2312" w:cs="楷体_GB2312" w:hint="eastAsia"/>
          <w:sz w:val="32"/>
          <w:szCs w:val="32"/>
          <w:lang w:val="en-US" w:eastAsia="zh-CN"/>
        </w:rPr>
        <w:t>一</w:t>
      </w:r>
      <w:r>
        <w:rPr>
          <w:rFonts w:ascii="仿宋_GB2312" w:eastAsia="仿宋_GB2312" w:hAnsi="仿宋_GB2312" w:cs="仿宋_GB2312" w:hint="eastAsia"/>
          <w:b/>
          <w:bCs/>
          <w:color w:val="auto"/>
          <w:sz w:val="32"/>
          <w:szCs w:val="32"/>
          <w:lang w:val="en-US" w:eastAsia="zh-CN"/>
        </w:rPr>
        <w:t>是</w:t>
      </w:r>
      <w:r>
        <w:rPr>
          <w:rFonts w:ascii="仿宋_GB2312" w:eastAsia="仿宋_GB2312" w:hAnsi="仿宋_GB2312" w:cs="仿宋_GB2312" w:hint="eastAsia"/>
          <w:b w:val="0"/>
          <w:bCs w:val="0"/>
          <w:color w:val="auto"/>
          <w:kern w:val="0"/>
          <w:sz w:val="32"/>
          <w:szCs w:val="32"/>
          <w:lang w:val="en-US" w:eastAsia="zh-CN" w:bidi="ar"/>
        </w:rPr>
        <w:t>倾听群众的心声，解决群众急难愁盼。</w:t>
      </w:r>
      <w:r>
        <w:rPr>
          <w:rFonts w:ascii="Times New Roman" w:eastAsia="仿宋_GB2312" w:hAnsi="Times New Roman" w:cs="Times New Roman" w:hint="eastAsia"/>
          <w:sz w:val="32"/>
          <w:szCs w:val="32"/>
          <w:lang w:val="en-US" w:eastAsia="zh-CN"/>
        </w:rPr>
        <w:t>截至目前，共受理群众</w:t>
      </w:r>
      <w:r>
        <w:rPr>
          <w:rFonts w:ascii="Times New Roman" w:eastAsia="仿宋_GB2312" w:hAnsi="Times New Roman" w:cs="Times New Roman" w:hint="default"/>
          <w:sz w:val="32"/>
          <w:szCs w:val="32"/>
          <w:lang w:val="en-US" w:eastAsia="zh-CN"/>
        </w:rPr>
        <w:t>12345</w:t>
      </w:r>
      <w:r>
        <w:rPr>
          <w:rFonts w:ascii="Times New Roman" w:eastAsia="仿宋_GB2312" w:hAnsi="Times New Roman" w:cs="Times New Roman" w:hint="eastAsia"/>
          <w:sz w:val="32"/>
          <w:szCs w:val="32"/>
          <w:lang w:val="en-US" w:eastAsia="zh-CN"/>
        </w:rPr>
        <w:t>市民服务热线转办单1486件，网络化精准服务指挥平台转办822件，向其他市直单位转出案件842件，受理供热案件579件，在单位领导的指导和各部门的密切配合下，受理、回复及时率达</w:t>
      </w:r>
      <w:r>
        <w:rPr>
          <w:rFonts w:ascii="Times New Roman" w:eastAsia="仿宋_GB2312" w:hAnsi="Times New Roman" w:cs="Times New Roman" w:hint="default"/>
          <w:sz w:val="32"/>
          <w:szCs w:val="32"/>
          <w:lang w:val="en-US" w:eastAsia="zh-CN"/>
        </w:rPr>
        <w:t>100</w:t>
      </w:r>
      <w:r>
        <w:rPr>
          <w:rFonts w:ascii="Times New Roman" w:eastAsia="仿宋_GB2312" w:hAnsi="Times New Roman" w:cs="Times New Roman" w:hint="eastAsia"/>
          <w:sz w:val="32"/>
          <w:szCs w:val="32"/>
          <w:lang w:val="en-US" w:eastAsia="zh-CN"/>
        </w:rPr>
        <w:t>%，有理</w:t>
      </w:r>
      <w:r>
        <w:rPr>
          <w:rFonts w:ascii="仿宋_GB2312" w:eastAsia="仿宋_GB2312" w:hAnsi="仿宋_GB2312" w:cs="仿宋_GB2312" w:hint="eastAsia"/>
          <w:b w:val="0"/>
          <w:bCs w:val="0"/>
          <w:color w:val="auto"/>
          <w:kern w:val="0"/>
          <w:sz w:val="32"/>
          <w:szCs w:val="32"/>
          <w:lang w:val="en-US" w:eastAsia="zh-CN" w:bidi="ar"/>
        </w:rPr>
        <w:t>、有据、耐心处理群众投诉，做到办理及时、答复及时，尽量让群众满意。</w:t>
      </w:r>
      <w:r>
        <w:rPr>
          <w:rFonts w:ascii="仿宋_GB2312" w:eastAsia="仿宋_GB2312" w:hAnsi="仿宋_GB2312" w:cs="仿宋_GB2312" w:hint="eastAsia"/>
          <w:b/>
          <w:bCs/>
          <w:color w:val="auto"/>
          <w:sz w:val="32"/>
          <w:szCs w:val="32"/>
          <w:lang w:val="en-US" w:eastAsia="zh-CN"/>
        </w:rPr>
        <w:t>二是</w:t>
      </w:r>
      <w:r>
        <w:rPr>
          <w:rFonts w:ascii="仿宋_GB2312" w:eastAsia="仿宋_GB2312" w:hAnsi="仿宋_GB2312" w:cs="仿宋_GB2312" w:hint="eastAsia"/>
          <w:b w:val="0"/>
          <w:bCs w:val="0"/>
          <w:color w:val="auto"/>
          <w:sz w:val="32"/>
          <w:szCs w:val="32"/>
          <w:lang w:val="en-US" w:eastAsia="zh-CN"/>
        </w:rPr>
        <w:t>通过智慧平台、</w:t>
      </w:r>
      <w:r>
        <w:rPr>
          <w:rFonts w:ascii="Times New Roman" w:eastAsia="仿宋_GB2312" w:hAnsi="Times New Roman" w:cs="Times New Roman" w:hint="eastAsia"/>
          <w:sz w:val="32"/>
          <w:szCs w:val="32"/>
          <w:lang w:val="en-US" w:eastAsia="zh-CN"/>
        </w:rPr>
        <w:t>12319</w:t>
      </w:r>
      <w:r>
        <w:rPr>
          <w:rFonts w:ascii="仿宋_GB2312" w:eastAsia="仿宋_GB2312" w:hAnsi="仿宋_GB2312" w:cs="仿宋_GB2312" w:hint="eastAsia"/>
          <w:b w:val="0"/>
          <w:bCs w:val="0"/>
          <w:color w:val="auto"/>
          <w:sz w:val="32"/>
          <w:szCs w:val="32"/>
          <w:lang w:val="en-US" w:eastAsia="zh-CN"/>
        </w:rPr>
        <w:t>城市管理服务热线等监督管理平台，进一步畅通违法行为投诉举报渠道，加强重点领域行政执法力度。开展专项整治行动，加强日常监管和执法巡查，从源头上预防和化解违法风险。</w:t>
      </w:r>
      <w:r>
        <w:rPr>
          <w:rFonts w:ascii="仿宋_GB2312" w:eastAsia="仿宋_GB2312" w:hAnsi="仿宋_GB2312" w:cs="仿宋_GB2312" w:hint="eastAsia"/>
          <w:b/>
          <w:bCs/>
          <w:color w:val="auto"/>
          <w:sz w:val="32"/>
          <w:szCs w:val="32"/>
          <w:lang w:val="en-US" w:eastAsia="zh-CN"/>
        </w:rPr>
        <w:t>三</w:t>
      </w:r>
      <w:r>
        <w:rPr>
          <w:rFonts w:ascii="仿宋_GB2312" w:eastAsia="仿宋_GB2312" w:hAnsi="仿宋_GB2312" w:cs="仿宋_GB2312" w:hint="eastAsia"/>
          <w:b/>
          <w:bCs/>
          <w:color w:val="auto"/>
          <w:kern w:val="2"/>
          <w:sz w:val="32"/>
          <w:szCs w:val="32"/>
          <w:highlight w:val="none"/>
          <w:lang w:val="en-US" w:eastAsia="zh-CN"/>
        </w:rPr>
        <w:t>是</w:t>
      </w:r>
      <w:r>
        <w:rPr>
          <w:rFonts w:ascii="仿宋_GB2312" w:eastAsia="仿宋_GB2312" w:hAnsi="仿宋_GB2312" w:cs="仿宋_GB2312" w:hint="eastAsia"/>
          <w:b w:val="0"/>
          <w:bCs w:val="0"/>
          <w:color w:val="auto"/>
          <w:sz w:val="32"/>
          <w:szCs w:val="32"/>
          <w:lang w:val="en-US" w:eastAsia="zh-CN"/>
        </w:rPr>
        <w:t>积极做好行政复议、调解及应诉工作。建立由分管领导牵头、业务科室承办、业务骨干专办的工作机制，确保每起行政复议和行政诉讼案件都能得到有效稳妥处理。</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color w:val="000000"/>
          <w:kern w:val="2"/>
          <w:sz w:val="32"/>
          <w:szCs w:val="32"/>
          <w:lang w:val="en-US" w:eastAsia="zh-CN" w:bidi="ar-SA"/>
        </w:rPr>
        <w:t>（八）健全行政执法工作体系方面。</w:t>
      </w:r>
      <w:r>
        <w:rPr>
          <w:rFonts w:ascii="仿宋_GB2312" w:eastAsia="仿宋_GB2312" w:hAnsi="仿宋_GB2312" w:cs="仿宋_GB2312" w:hint="eastAsia"/>
          <w:b w:val="0"/>
          <w:bCs w:val="0"/>
          <w:sz w:val="32"/>
          <w:szCs w:val="32"/>
          <w:lang w:eastAsia="zh-CN"/>
        </w:rPr>
        <w:t>坚持</w:t>
      </w:r>
      <w:r>
        <w:rPr>
          <w:rFonts w:ascii="仿宋_GB2312" w:eastAsia="仿宋_GB2312" w:hAnsi="仿宋_GB2312" w:cs="仿宋_GB2312" w:hint="eastAsia"/>
          <w:sz w:val="32"/>
          <w:szCs w:val="32"/>
        </w:rPr>
        <w:t>持证上岗，亮证执法</w:t>
      </w:r>
      <w:r>
        <w:rPr>
          <w:rFonts w:ascii="仿宋_GB2312" w:eastAsia="仿宋_GB2312" w:hAnsi="仿宋_GB2312" w:cs="仿宋_GB2312" w:hint="eastAsia"/>
          <w:sz w:val="32"/>
          <w:szCs w:val="32"/>
          <w:lang w:val="en-US" w:eastAsia="zh-CN"/>
        </w:rPr>
        <w:t>并接受社会监督</w:t>
      </w:r>
      <w:r>
        <w:rPr>
          <w:rFonts w:ascii="仿宋_GB2312" w:eastAsia="仿宋_GB2312" w:hAnsi="仿宋_GB2312" w:cs="仿宋_GB2312" w:hint="eastAsia"/>
          <w:sz w:val="32"/>
          <w:szCs w:val="32"/>
        </w:rPr>
        <w:t>。按照“依法执法、文明执法、廉洁执法”的要求，严格规范行政执法行为。</w:t>
      </w:r>
      <w:r>
        <w:rPr>
          <w:rFonts w:ascii="仿宋_GB2312" w:eastAsia="仿宋_GB2312" w:hAnsi="仿宋_GB2312" w:cs="仿宋_GB2312" w:hint="eastAsia"/>
          <w:sz w:val="32"/>
          <w:szCs w:val="32"/>
          <w:highlight w:val="none"/>
        </w:rPr>
        <w:t>全</w:t>
      </w:r>
      <w:r>
        <w:rPr>
          <w:rFonts w:ascii="仿宋_GB2312" w:eastAsia="仿宋_GB2312" w:hAnsi="仿宋_GB2312" w:cs="仿宋_GB2312" w:hint="eastAsia"/>
          <w:sz w:val="32"/>
          <w:szCs w:val="32"/>
          <w:highlight w:val="none"/>
          <w:lang w:val="en-US" w:eastAsia="zh-CN"/>
        </w:rPr>
        <w:t>局</w:t>
      </w:r>
      <w:r>
        <w:rPr>
          <w:rFonts w:ascii="Times New Roman" w:eastAsia="方正小标宋简体" w:hAnsi="Times New Roman" w:cs="Times New Roman" w:hint="eastAsia"/>
          <w:sz w:val="32"/>
          <w:szCs w:val="32"/>
          <w:lang w:val="en-US" w:eastAsia="zh-CN"/>
        </w:rPr>
        <w:t>26</w:t>
      </w:r>
      <w:r>
        <w:rPr>
          <w:rFonts w:ascii="仿宋_GB2312" w:eastAsia="仿宋_GB2312" w:hAnsi="仿宋_GB2312" w:cs="仿宋_GB2312" w:hint="eastAsia"/>
          <w:sz w:val="32"/>
          <w:szCs w:val="32"/>
          <w:highlight w:val="none"/>
        </w:rPr>
        <w:t>名行政执法人员</w:t>
      </w:r>
      <w:r>
        <w:rPr>
          <w:rFonts w:ascii="仿宋_GB2312" w:eastAsia="仿宋_GB2312" w:hAnsi="仿宋_GB2312" w:cs="仿宋_GB2312" w:hint="eastAsia"/>
          <w:sz w:val="32"/>
          <w:szCs w:val="32"/>
        </w:rPr>
        <w:t>持有统一监制的《行政执法证》</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证件均经</w:t>
      </w:r>
      <w:r>
        <w:rPr>
          <w:rFonts w:ascii="仿宋_GB2312" w:eastAsia="仿宋_GB2312" w:hAnsi="仿宋_GB2312" w:cs="仿宋_GB2312" w:hint="eastAsia"/>
          <w:sz w:val="32"/>
          <w:szCs w:val="32"/>
          <w:lang w:val="en-US" w:eastAsia="zh-CN"/>
        </w:rPr>
        <w:t>自治区三级联审</w:t>
      </w:r>
      <w:r>
        <w:rPr>
          <w:rFonts w:ascii="仿宋_GB2312" w:eastAsia="仿宋_GB2312" w:hAnsi="仿宋_GB2312" w:cs="仿宋_GB2312" w:hint="eastAsia"/>
          <w:sz w:val="32"/>
          <w:szCs w:val="32"/>
        </w:rPr>
        <w:t>注册，按照要求进行</w:t>
      </w:r>
      <w:r>
        <w:rPr>
          <w:rFonts w:ascii="仿宋_GB2312" w:eastAsia="仿宋_GB2312" w:hAnsi="仿宋_GB2312" w:cs="仿宋_GB2312" w:hint="eastAsia"/>
          <w:sz w:val="32"/>
          <w:szCs w:val="32"/>
          <w:lang w:val="en-US" w:eastAsia="zh-CN"/>
        </w:rPr>
        <w:t>动态</w:t>
      </w:r>
      <w:r>
        <w:rPr>
          <w:rFonts w:ascii="仿宋_GB2312" w:eastAsia="仿宋_GB2312" w:hAnsi="仿宋_GB2312" w:cs="仿宋_GB2312" w:hint="eastAsia"/>
          <w:sz w:val="32"/>
          <w:szCs w:val="32"/>
        </w:rPr>
        <w:t>管理。严格实行持证上岗，严禁无证执法，执法做到主动出示证件，做好执法仪的执法过程记录</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明确执法依据</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公开处理结果，树立公正、规范、文明的执法形象。</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highlight w:val="none"/>
        </w:rPr>
      </w:pPr>
      <w:r>
        <w:rPr>
          <w:rFonts w:ascii="楷体_GB2312" w:eastAsia="楷体_GB2312" w:hAnsi="楷体_GB2312" w:cs="楷体_GB2312" w:hint="eastAsia"/>
          <w:b/>
          <w:bCs/>
          <w:color w:val="000000"/>
          <w:kern w:val="2"/>
          <w:sz w:val="32"/>
          <w:szCs w:val="32"/>
          <w:lang w:val="en-US" w:eastAsia="zh-CN" w:bidi="ar-SA"/>
        </w:rPr>
        <w:t>（九）深入推进“放管服”改革情况。</w:t>
      </w:r>
      <w:r>
        <w:rPr>
          <w:rFonts w:ascii="仿宋_GB2312" w:eastAsia="仿宋_GB2312" w:hAnsi="仿宋_GB2312" w:cs="仿宋_GB2312" w:hint="eastAsia"/>
          <w:sz w:val="32"/>
          <w:szCs w:val="32"/>
        </w:rPr>
        <w:t>紧紧围绕推动高质量发展这一首要任务，采取有力措施，</w:t>
      </w:r>
      <w:r>
        <w:rPr>
          <w:rFonts w:ascii="仿宋_GB2312" w:eastAsia="仿宋_GB2312" w:hAnsi="仿宋_GB2312" w:cs="仿宋_GB2312" w:hint="eastAsia"/>
          <w:sz w:val="32"/>
          <w:szCs w:val="32"/>
          <w:highlight w:val="none"/>
        </w:rPr>
        <w:t>抓实抓好各项工作，圆满完成</w:t>
      </w:r>
      <w:r>
        <w:rPr>
          <w:rFonts w:ascii="仿宋_GB2312" w:eastAsia="仿宋_GB2312" w:hAnsi="仿宋_GB2312" w:cs="仿宋_GB2312" w:hint="eastAsia"/>
          <w:sz w:val="32"/>
          <w:szCs w:val="32"/>
          <w:highlight w:val="none"/>
          <w:lang w:val="en-US" w:eastAsia="zh-CN"/>
        </w:rPr>
        <w:t>上级交办的</w:t>
      </w:r>
      <w:r>
        <w:rPr>
          <w:rFonts w:ascii="仿宋_GB2312" w:eastAsia="仿宋_GB2312" w:hAnsi="仿宋_GB2312" w:cs="仿宋_GB2312" w:hint="eastAsia"/>
          <w:sz w:val="32"/>
          <w:szCs w:val="32"/>
          <w:highlight w:val="none"/>
        </w:rPr>
        <w:t>各项任务。</w:t>
      </w:r>
      <w:r>
        <w:rPr>
          <w:rFonts w:ascii="仿宋_GB2312" w:eastAsia="仿宋_GB2312" w:hAnsi="仿宋_GB2312" w:cs="仿宋_GB2312" w:hint="eastAsia"/>
          <w:b/>
          <w:bCs/>
          <w:sz w:val="32"/>
          <w:szCs w:val="32"/>
          <w:highlight w:val="none"/>
        </w:rPr>
        <w:t>一是</w:t>
      </w:r>
      <w:r>
        <w:rPr>
          <w:rFonts w:ascii="仿宋_GB2312" w:eastAsia="仿宋_GB2312" w:hAnsi="仿宋_GB2312" w:cs="仿宋_GB2312" w:hint="eastAsia"/>
          <w:sz w:val="32"/>
          <w:szCs w:val="32"/>
          <w:highlight w:val="none"/>
        </w:rPr>
        <w:t>进一步简政放权。全面推进审批服务“马上办、就近办、一次办”。深化“放管服”改革，梳理各类审批事项</w:t>
      </w:r>
      <w:r>
        <w:rPr>
          <w:rFonts w:ascii="Times New Roman" w:eastAsia="方正小标宋简体" w:hAnsi="Times New Roman" w:cs="Times New Roman" w:hint="eastAsia"/>
          <w:kern w:val="2"/>
          <w:sz w:val="32"/>
          <w:szCs w:val="32"/>
          <w:highlight w:val="none"/>
          <w:lang w:val="en-US" w:eastAsia="zh-CN" w:bidi="ar-SA"/>
        </w:rPr>
        <w:t>23</w:t>
      </w:r>
      <w:r>
        <w:rPr>
          <w:rFonts w:ascii="仿宋_GB2312" w:eastAsia="仿宋_GB2312" w:hAnsi="仿宋_GB2312" w:cs="仿宋_GB2312" w:hint="eastAsia"/>
          <w:sz w:val="32"/>
          <w:szCs w:val="32"/>
          <w:highlight w:val="none"/>
        </w:rPr>
        <w:t>项</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rPr>
        <w:t>市政务服务中心进驻率达</w:t>
      </w:r>
      <w:r>
        <w:rPr>
          <w:rFonts w:ascii="Times New Roman" w:eastAsia="方正小标宋简体" w:hAnsi="Times New Roman" w:cs="Times New Roman" w:hint="default"/>
          <w:kern w:val="2"/>
          <w:sz w:val="32"/>
          <w:szCs w:val="32"/>
          <w:highlight w:val="none"/>
          <w:lang w:val="en-US" w:eastAsia="zh-CN" w:bidi="ar-SA"/>
        </w:rPr>
        <w:t>100</w:t>
      </w:r>
      <w:r>
        <w:rPr>
          <w:rFonts w:ascii="Times New Roman" w:eastAsia="仿宋_GB2312" w:hAnsi="Times New Roman" w:cs="Times New Roman" w:hint="default"/>
          <w:kern w:val="2"/>
          <w:sz w:val="32"/>
          <w:szCs w:val="32"/>
          <w:highlight w:val="none"/>
          <w:lang w:val="en-US" w:eastAsia="zh-CN" w:bidi="ar-SA"/>
        </w:rPr>
        <w:t>%</w:t>
      </w:r>
      <w:r>
        <w:rPr>
          <w:rFonts w:ascii="仿宋_GB2312" w:eastAsia="仿宋_GB2312" w:hAnsi="仿宋_GB2312" w:cs="仿宋_GB2312" w:hint="eastAsia"/>
          <w:sz w:val="32"/>
          <w:szCs w:val="32"/>
          <w:highlight w:val="none"/>
        </w:rPr>
        <w:t>。全面推行证明事项告知承诺制，深化“证照分离”“多证合一”，依托新疆政务服务网，实行“一网通办、数据共享”</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b/>
          <w:bCs/>
          <w:sz w:val="32"/>
          <w:szCs w:val="32"/>
          <w:highlight w:val="none"/>
        </w:rPr>
        <w:t>二是</w:t>
      </w:r>
      <w:r>
        <w:rPr>
          <w:rFonts w:ascii="仿宋_GB2312" w:eastAsia="仿宋_GB2312" w:hAnsi="仿宋_GB2312" w:cs="仿宋_GB2312" w:hint="eastAsia"/>
          <w:sz w:val="32"/>
          <w:szCs w:val="32"/>
          <w:highlight w:val="none"/>
        </w:rPr>
        <w:t>进一步提升行政效能。不断强化改革创新，全面促进依法履职</w:t>
      </w:r>
      <w:r>
        <w:rPr>
          <w:rFonts w:ascii="仿宋_GB2312" w:eastAsia="仿宋_GB2312" w:hAnsi="仿宋_GB2312" w:cs="仿宋_GB2312" w:hint="eastAsia"/>
          <w:sz w:val="32"/>
          <w:szCs w:val="32"/>
          <w:highlight w:val="none"/>
          <w:lang w:val="en-US" w:eastAsia="zh-CN"/>
        </w:rPr>
        <w:t>用权</w:t>
      </w:r>
      <w:r>
        <w:rPr>
          <w:rFonts w:ascii="仿宋_GB2312" w:eastAsia="仿宋_GB2312" w:hAnsi="仿宋_GB2312" w:cs="仿宋_GB2312" w:hint="eastAsia"/>
          <w:sz w:val="32"/>
          <w:szCs w:val="32"/>
          <w:highlight w:val="none"/>
        </w:rPr>
        <w:t>。</w:t>
      </w:r>
      <w:r>
        <w:rPr>
          <w:rFonts w:ascii="仿宋_GB2312" w:eastAsia="仿宋_GB2312" w:hAnsi="仿宋_GB2312" w:cs="仿宋_GB2312" w:hint="eastAsia"/>
          <w:sz w:val="32"/>
          <w:szCs w:val="32"/>
          <w:highlight w:val="none"/>
          <w:lang w:val="en-US" w:eastAsia="zh-CN"/>
        </w:rPr>
        <w:t>持续</w:t>
      </w:r>
      <w:r>
        <w:rPr>
          <w:rFonts w:ascii="仿宋_GB2312" w:eastAsia="仿宋_GB2312" w:hAnsi="仿宋_GB2312" w:cs="仿宋_GB2312" w:hint="eastAsia"/>
          <w:sz w:val="32"/>
          <w:szCs w:val="32"/>
          <w:highlight w:val="none"/>
        </w:rPr>
        <w:t>规范行政决策程序，以优化提升营商环境为抓手，</w:t>
      </w:r>
      <w:r>
        <w:rPr>
          <w:rFonts w:ascii="仿宋_GB2312" w:eastAsia="仿宋_GB2312" w:hAnsi="仿宋_GB2312" w:cs="仿宋_GB2312" w:hint="eastAsia"/>
          <w:sz w:val="32"/>
          <w:szCs w:val="32"/>
          <w:highlight w:val="none"/>
          <w:lang w:val="en-US" w:eastAsia="zh-CN"/>
        </w:rPr>
        <w:t>审批事项供热经营许可、燃气经营许可等</w:t>
      </w:r>
      <w:r>
        <w:rPr>
          <w:rFonts w:ascii="Times New Roman" w:eastAsia="方正小标宋简体" w:hAnsi="Times New Roman" w:cs="Times New Roman" w:hint="eastAsia"/>
          <w:kern w:val="2"/>
          <w:sz w:val="32"/>
          <w:szCs w:val="32"/>
          <w:highlight w:val="none"/>
          <w:lang w:val="en-US" w:eastAsia="zh-CN" w:bidi="ar-SA"/>
        </w:rPr>
        <w:t>23</w:t>
      </w:r>
      <w:r>
        <w:rPr>
          <w:rFonts w:ascii="仿宋_GB2312" w:eastAsia="仿宋_GB2312" w:hAnsi="仿宋_GB2312" w:cs="仿宋_GB2312" w:hint="eastAsia"/>
          <w:sz w:val="32"/>
          <w:szCs w:val="32"/>
          <w:highlight w:val="none"/>
          <w:lang w:val="en-US" w:eastAsia="zh-CN"/>
        </w:rPr>
        <w:t>项事项类型，</w:t>
      </w:r>
      <w:r>
        <w:rPr>
          <w:rFonts w:ascii="仿宋_GB2312" w:eastAsia="仿宋_GB2312" w:hAnsi="仿宋_GB2312" w:cs="仿宋_GB2312" w:hint="eastAsia"/>
          <w:sz w:val="32"/>
          <w:szCs w:val="32"/>
          <w:highlight w:val="none"/>
        </w:rPr>
        <w:t>行政审批</w:t>
      </w:r>
      <w:r>
        <w:rPr>
          <w:rFonts w:ascii="仿宋_GB2312" w:eastAsia="仿宋_GB2312" w:hAnsi="仿宋_GB2312" w:cs="仿宋_GB2312" w:hint="eastAsia"/>
          <w:sz w:val="32"/>
          <w:szCs w:val="32"/>
          <w:highlight w:val="none"/>
          <w:lang w:val="en-US" w:eastAsia="zh-CN"/>
        </w:rPr>
        <w:t>权限</w:t>
      </w:r>
      <w:r>
        <w:rPr>
          <w:rFonts w:ascii="仿宋_GB2312" w:eastAsia="仿宋_GB2312" w:hAnsi="仿宋_GB2312" w:cs="仿宋_GB2312" w:hint="eastAsia"/>
          <w:sz w:val="32"/>
          <w:szCs w:val="32"/>
          <w:highlight w:val="none"/>
        </w:rPr>
        <w:t>分级授权，办理时限压缩</w:t>
      </w:r>
      <w:r>
        <w:rPr>
          <w:rFonts w:ascii="Times New Roman" w:eastAsia="方正小标宋简体" w:hAnsi="Times New Roman" w:cs="Times New Roman" w:hint="eastAsia"/>
          <w:kern w:val="2"/>
          <w:sz w:val="32"/>
          <w:szCs w:val="32"/>
          <w:highlight w:val="none"/>
          <w:lang w:val="en-US" w:eastAsia="zh-CN" w:bidi="ar-SA"/>
        </w:rPr>
        <w:t>70%</w:t>
      </w:r>
      <w:r>
        <w:rPr>
          <w:rFonts w:ascii="仿宋_GB2312" w:eastAsia="仿宋_GB2312" w:hAnsi="仿宋_GB2312" w:cs="仿宋_GB2312" w:hint="eastAsia"/>
          <w:sz w:val="32"/>
          <w:szCs w:val="32"/>
          <w:highlight w:val="none"/>
        </w:rPr>
        <w:t>，均实现“一窗式受理、一站式办结”。</w:t>
      </w:r>
      <w:r>
        <w:rPr>
          <w:rFonts w:ascii="Times New Roman" w:eastAsia="方正小标宋简体" w:hAnsi="Times New Roman" w:cs="Times New Roman" w:hint="eastAsia"/>
          <w:kern w:val="2"/>
          <w:sz w:val="32"/>
          <w:szCs w:val="32"/>
          <w:highlight w:val="none"/>
          <w:lang w:val="en-US" w:eastAsia="zh-CN" w:bidi="ar-SA"/>
        </w:rPr>
        <w:t>2024</w:t>
      </w:r>
      <w:r>
        <w:rPr>
          <w:rFonts w:ascii="仿宋_GB2312" w:eastAsia="仿宋_GB2312" w:hAnsi="仿宋_GB2312" w:cs="仿宋_GB2312" w:hint="eastAsia"/>
          <w:sz w:val="32"/>
          <w:szCs w:val="32"/>
          <w:highlight w:val="none"/>
          <w:lang w:val="en-US" w:eastAsia="zh-CN"/>
        </w:rPr>
        <w:t>年度共办理行政许可</w:t>
      </w:r>
      <w:r>
        <w:rPr>
          <w:rFonts w:ascii="Times New Roman" w:eastAsia="方正小标宋简体" w:hAnsi="Times New Roman" w:cs="Times New Roman" w:hint="default"/>
          <w:kern w:val="2"/>
          <w:sz w:val="32"/>
          <w:szCs w:val="32"/>
          <w:highlight w:val="none"/>
          <w:lang w:val="en-US" w:eastAsia="zh-CN" w:bidi="ar-SA"/>
        </w:rPr>
        <w:t>545</w:t>
      </w:r>
      <w:r>
        <w:rPr>
          <w:rFonts w:ascii="仿宋_GB2312" w:eastAsia="仿宋_GB2312" w:hAnsi="仿宋_GB2312" w:cs="仿宋_GB2312" w:hint="eastAsia"/>
          <w:sz w:val="32"/>
          <w:szCs w:val="32"/>
          <w:highlight w:val="none"/>
          <w:lang w:val="en-US" w:eastAsia="zh-CN"/>
        </w:rPr>
        <w:t>件、办理其他行政权力事项</w:t>
      </w:r>
      <w:r>
        <w:rPr>
          <w:rFonts w:ascii="Times New Roman" w:eastAsia="方正小标宋简体" w:hAnsi="Times New Roman" w:cs="Times New Roman" w:hint="default"/>
          <w:kern w:val="2"/>
          <w:sz w:val="32"/>
          <w:szCs w:val="32"/>
          <w:highlight w:val="none"/>
          <w:lang w:val="en-US" w:eastAsia="zh-CN" w:bidi="ar-SA"/>
        </w:rPr>
        <w:t>1000</w:t>
      </w:r>
      <w:r>
        <w:rPr>
          <w:rFonts w:ascii="仿宋_GB2312" w:eastAsia="仿宋_GB2312" w:hAnsi="仿宋_GB2312" w:cs="仿宋_GB2312" w:hint="eastAsia"/>
          <w:sz w:val="32"/>
          <w:szCs w:val="32"/>
          <w:highlight w:val="none"/>
          <w:lang w:val="en-US" w:eastAsia="zh-CN"/>
        </w:rPr>
        <w:t>余件，</w:t>
      </w:r>
      <w:r>
        <w:rPr>
          <w:rFonts w:ascii="仿宋_GB2312" w:eastAsia="仿宋_GB2312" w:hAnsi="仿宋_GB2312" w:cs="仿宋_GB2312" w:hint="eastAsia"/>
          <w:sz w:val="32"/>
          <w:szCs w:val="32"/>
          <w:highlight w:val="none"/>
        </w:rPr>
        <w:t>完成率达</w:t>
      </w:r>
      <w:r>
        <w:rPr>
          <w:rFonts w:ascii="Times New Roman" w:eastAsia="方正小标宋简体" w:hAnsi="Times New Roman" w:cs="Times New Roman" w:hint="default"/>
          <w:kern w:val="2"/>
          <w:sz w:val="32"/>
          <w:szCs w:val="32"/>
          <w:highlight w:val="none"/>
          <w:lang w:val="en-US" w:eastAsia="zh-CN" w:bidi="ar-SA"/>
        </w:rPr>
        <w:t>100</w:t>
      </w:r>
      <w:r>
        <w:rPr>
          <w:rFonts w:ascii="Times New Roman" w:eastAsia="仿宋_GB2312" w:hAnsi="Times New Roman" w:cs="Times New Roman" w:hint="default"/>
          <w:sz w:val="32"/>
          <w:szCs w:val="32"/>
          <w:highlight w:val="none"/>
        </w:rPr>
        <w:t>%</w:t>
      </w:r>
      <w:r>
        <w:rPr>
          <w:rFonts w:ascii="仿宋_GB2312" w:eastAsia="仿宋_GB2312" w:hAnsi="仿宋_GB2312" w:cs="仿宋_GB2312" w:hint="eastAsia"/>
          <w:sz w:val="32"/>
          <w:szCs w:val="32"/>
          <w:highlight w:val="none"/>
        </w:rPr>
        <w:t>，提前办结率达</w:t>
      </w:r>
      <w:r>
        <w:rPr>
          <w:rFonts w:ascii="Times New Roman" w:eastAsia="方正小标宋简体" w:hAnsi="Times New Roman" w:cs="Times New Roman" w:hint="eastAsia"/>
          <w:kern w:val="2"/>
          <w:sz w:val="32"/>
          <w:szCs w:val="32"/>
          <w:highlight w:val="none"/>
          <w:lang w:val="en-US" w:eastAsia="zh-CN" w:bidi="ar-SA"/>
        </w:rPr>
        <w:t>100%</w:t>
      </w:r>
      <w:r>
        <w:rPr>
          <w:rFonts w:ascii="仿宋_GB2312" w:eastAsia="仿宋_GB2312" w:hAnsi="仿宋_GB2312" w:cs="仿宋_GB2312" w:hint="eastAsia"/>
          <w:sz w:val="32"/>
          <w:szCs w:val="32"/>
          <w:highlight w:val="none"/>
        </w:rPr>
        <w:t>。</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highlight w:val="none"/>
          <w:lang w:val="en-US" w:eastAsia="zh-CN"/>
        </w:rPr>
      </w:pPr>
      <w:r>
        <w:rPr>
          <w:rFonts w:ascii="楷体_GB2312" w:eastAsia="楷体_GB2312" w:hAnsi="楷体_GB2312" w:cs="楷体_GB2312" w:hint="eastAsia"/>
          <w:b/>
          <w:bCs/>
          <w:color w:val="000000"/>
          <w:kern w:val="2"/>
          <w:sz w:val="32"/>
          <w:szCs w:val="32"/>
          <w:lang w:val="en-US" w:eastAsia="zh-CN" w:bidi="ar-SA"/>
        </w:rPr>
        <w:t>（十）行政管理中行政执法工作方面。</w:t>
      </w:r>
      <w:r>
        <w:rPr>
          <w:rFonts w:ascii="仿宋_GB2312" w:eastAsia="仿宋_GB2312" w:hAnsi="仿宋_GB2312" w:cs="仿宋_GB2312" w:hint="eastAsia"/>
          <w:sz w:val="32"/>
          <w:szCs w:val="32"/>
          <w:lang w:val="en-US" w:eastAsia="zh-CN"/>
        </w:rPr>
        <w:t>坚持处罚与教育相结合。认真落实“谁执法谁普法”普法责任制，将普法教育贯穿行政处罚全过程，引导企业和群众依法经营、自觉守法，努力预防和化解违法风险</w:t>
      </w:r>
      <w:r>
        <w:rPr>
          <w:rFonts w:ascii="仿宋_GB2312" w:eastAsia="仿宋_GB2312" w:hAnsi="仿宋_GB2312" w:cs="仿宋_GB2312" w:hint="eastAsia"/>
          <w:sz w:val="32"/>
          <w:szCs w:val="32"/>
          <w:highlight w:val="none"/>
          <w:lang w:val="en-US" w:eastAsia="zh-CN"/>
        </w:rPr>
        <w:t>。积极探索构建“预防为主、轻微免罚、重违严惩、过罚相当”执法模式。在日常执法中，对初次违法且情节轻微的行为，执法人员以教育为主、对屡教不改或严重违反规定的行为，做到既依法处罚，又加强教育，告知违法后果和造成的危害，达到惩戒与教化的双重效果，让城市管理的执法过程既有维护法律尊严的力度，又彰显人文关怀的温度，营造更加文明和谐的城市环境。</w:t>
      </w:r>
      <w:r>
        <w:rPr>
          <w:rFonts w:ascii="Times New Roman" w:eastAsia="方正小标宋简体" w:hAnsi="Times New Roman" w:cs="Times New Roman" w:hint="default"/>
          <w:kern w:val="2"/>
          <w:sz w:val="32"/>
          <w:szCs w:val="32"/>
          <w:highlight w:val="none"/>
          <w:lang w:val="en-US" w:eastAsia="zh-CN" w:bidi="ar-SA"/>
        </w:rPr>
        <w:t>2024</w:t>
      </w:r>
      <w:r>
        <w:rPr>
          <w:rFonts w:ascii="仿宋_GB2312" w:eastAsia="仿宋_GB2312" w:hAnsi="仿宋_GB2312" w:cs="仿宋_GB2312" w:hint="eastAsia"/>
          <w:sz w:val="32"/>
          <w:szCs w:val="32"/>
          <w:highlight w:val="none"/>
          <w:lang w:val="en-US" w:eastAsia="zh-CN"/>
        </w:rPr>
        <w:t>年行政处罚结案案件</w:t>
      </w:r>
      <w:r>
        <w:rPr>
          <w:rFonts w:ascii="Times New Roman" w:eastAsia="方正小标宋简体" w:hAnsi="Times New Roman" w:cs="Times New Roman" w:hint="eastAsia"/>
          <w:kern w:val="2"/>
          <w:sz w:val="32"/>
          <w:szCs w:val="32"/>
          <w:highlight w:val="none"/>
          <w:lang w:val="en-US" w:eastAsia="zh-CN" w:bidi="ar-SA"/>
        </w:rPr>
        <w:t>71</w:t>
      </w:r>
      <w:r>
        <w:rPr>
          <w:rFonts w:ascii="仿宋_GB2312" w:eastAsia="仿宋_GB2312" w:hAnsi="仿宋_GB2312" w:cs="仿宋_GB2312" w:hint="eastAsia"/>
          <w:sz w:val="32"/>
          <w:szCs w:val="32"/>
          <w:highlight w:val="none"/>
          <w:lang w:val="en-US" w:eastAsia="zh-CN"/>
        </w:rPr>
        <w:t>件。</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Times New Roman" w:eastAsia="仿宋_GB2312" w:hAnsi="Times New Roman" w:cs="Times New Roman" w:hint="eastAsia"/>
          <w:sz w:val="32"/>
          <w:szCs w:val="32"/>
          <w:lang w:val="en-US" w:eastAsia="zh-CN"/>
        </w:rPr>
      </w:pPr>
      <w:r>
        <w:rPr>
          <w:rFonts w:ascii="楷体_GB2312" w:eastAsia="楷体_GB2312" w:hAnsi="楷体_GB2312" w:cs="楷体_GB2312" w:hint="eastAsia"/>
          <w:b/>
          <w:bCs/>
          <w:color w:val="000000"/>
          <w:kern w:val="2"/>
          <w:sz w:val="32"/>
          <w:szCs w:val="32"/>
          <w:lang w:val="en-US" w:eastAsia="zh-CN" w:bidi="ar-SA"/>
        </w:rPr>
        <w:t>（十一）健全行政权力制约和监督体系建设情况。</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lang w:val="en-US" w:eastAsia="zh-CN"/>
        </w:rPr>
        <w:t>城市管理</w:t>
      </w:r>
      <w:r>
        <w:rPr>
          <w:rFonts w:ascii="仿宋_GB2312" w:eastAsia="仿宋_GB2312" w:hAnsi="仿宋_GB2312" w:cs="仿宋_GB2312" w:hint="eastAsia"/>
          <w:sz w:val="32"/>
          <w:szCs w:val="32"/>
        </w:rPr>
        <w:t>局党组监督主导下，持续深化“ 小微权力 ”监督，加大对公职人员用权监督约束力度，及时对行政许可、行政处罚“双公示”数据归集情况进行上报。加强对法律法规知识学习，重点学习 《</w:t>
      </w:r>
      <w:r>
        <w:rPr>
          <w:rFonts w:ascii="仿宋_GB2312" w:eastAsia="仿宋_GB2312" w:hAnsi="仿宋_GB2312" w:cs="仿宋_GB2312" w:hint="eastAsia"/>
          <w:sz w:val="32"/>
          <w:szCs w:val="32"/>
          <w:lang w:eastAsia="zh-CN"/>
        </w:rPr>
        <w:t>中华人民共和国监察法</w:t>
      </w:r>
      <w:bookmarkStart w:id="0" w:name="_GoBack"/>
      <w:bookmarkEnd w:id="0"/>
      <w:r>
        <w:rPr>
          <w:rFonts w:ascii="仿宋_GB2312" w:eastAsia="仿宋_GB2312" w:hAnsi="仿宋_GB2312" w:cs="仿宋_GB2312" w:hint="eastAsia"/>
          <w:sz w:val="32"/>
          <w:szCs w:val="32"/>
        </w:rPr>
        <w:t>》《新疆维吾尔自治区信访条例》</w:t>
      </w:r>
      <w:r>
        <w:rPr>
          <w:rFonts w:ascii="仿宋_GB2312" w:eastAsia="仿宋_GB2312" w:hAnsi="仿宋_GB2312" w:cs="仿宋_GB2312" w:hint="eastAsia"/>
          <w:sz w:val="32"/>
          <w:szCs w:val="32"/>
          <w:lang w:val="en-US" w:eastAsia="zh-CN"/>
        </w:rPr>
        <w:t>等法律法规</w:t>
      </w:r>
      <w:r>
        <w:rPr>
          <w:rFonts w:ascii="仿宋_GB2312" w:eastAsia="仿宋_GB2312" w:hAnsi="仿宋_GB2312" w:cs="仿宋_GB2312" w:hint="eastAsia"/>
          <w:sz w:val="32"/>
          <w:szCs w:val="32"/>
        </w:rPr>
        <w:t>，并通过学习强国</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石榴云、i 塔城、法宣在线等多个平台进行法治学习</w:t>
      </w:r>
      <w:r>
        <w:rPr>
          <w:rFonts w:ascii="仿宋_GB2312" w:eastAsia="仿宋_GB2312" w:hAnsi="仿宋_GB2312" w:cs="仿宋_GB2312" w:hint="eastAsia"/>
          <w:sz w:val="32"/>
          <w:szCs w:val="32"/>
          <w:lang w:eastAsia="zh-CN"/>
        </w:rPr>
        <w:t>，</w:t>
      </w:r>
      <w:r>
        <w:rPr>
          <w:rFonts w:ascii="Times New Roman" w:eastAsia="仿宋_GB2312" w:hAnsi="Times New Roman" w:cs="Times New Roman" w:hint="eastAsia"/>
          <w:sz w:val="32"/>
          <w:szCs w:val="32"/>
          <w:lang w:val="en-US" w:eastAsia="zh-CN"/>
        </w:rPr>
        <w:t>参加学习考试</w:t>
      </w:r>
      <w:r>
        <w:rPr>
          <w:rFonts w:ascii="Times New Roman" w:eastAsia="方正小标宋简体" w:hAnsi="Times New Roman" w:cs="Times New Roman" w:hint="eastAsia"/>
          <w:kern w:val="2"/>
          <w:sz w:val="32"/>
          <w:szCs w:val="32"/>
          <w:highlight w:val="none"/>
          <w:lang w:val="en-US" w:eastAsia="zh-CN" w:bidi="ar-SA"/>
        </w:rPr>
        <w:t>55</w:t>
      </w:r>
      <w:r>
        <w:rPr>
          <w:rFonts w:ascii="Times New Roman" w:eastAsia="仿宋_GB2312" w:hAnsi="Times New Roman" w:cs="Times New Roman" w:hint="eastAsia"/>
          <w:sz w:val="32"/>
          <w:szCs w:val="32"/>
          <w:lang w:val="en-US" w:eastAsia="zh-CN"/>
        </w:rPr>
        <w:t>人次，成绩均达到合格。</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color w:val="000000"/>
          <w:kern w:val="2"/>
          <w:sz w:val="32"/>
          <w:szCs w:val="32"/>
          <w:lang w:val="en-US" w:eastAsia="zh-CN" w:bidi="ar-SA"/>
        </w:rPr>
        <w:t>（十二）落实“谁执法谁普法”责任制情况。</w:t>
      </w:r>
      <w:r>
        <w:rPr>
          <w:rFonts w:ascii="仿宋_GB2312" w:eastAsia="仿宋_GB2312" w:hAnsi="仿宋_GB2312" w:cs="仿宋_GB2312" w:hint="eastAsia"/>
          <w:sz w:val="32"/>
          <w:szCs w:val="32"/>
        </w:rPr>
        <w:t>积极开展普法宣传，结合宪法法律宣传月、民法典宣传月、安全生产月、国家安全教育日等重要节点，严格落实“谁执法谁普法”的普法责任制，</w:t>
      </w:r>
      <w:r>
        <w:rPr>
          <w:rFonts w:ascii="仿宋_GB2312" w:eastAsia="仿宋_GB2312" w:hAnsi="仿宋_GB2312" w:cs="仿宋_GB2312" w:hint="eastAsia"/>
          <w:sz w:val="32"/>
          <w:szCs w:val="32"/>
          <w:lang w:val="en-US" w:eastAsia="zh-CN"/>
        </w:rPr>
        <w:t>紧盯行业监管职责，</w:t>
      </w:r>
      <w:r>
        <w:rPr>
          <w:rFonts w:ascii="仿宋_GB2312" w:eastAsia="仿宋_GB2312" w:hAnsi="仿宋_GB2312" w:cs="仿宋_GB2312" w:hint="eastAsia"/>
          <w:sz w:val="32"/>
          <w:szCs w:val="32"/>
        </w:rPr>
        <w:t>深入</w:t>
      </w:r>
      <w:r>
        <w:rPr>
          <w:rFonts w:ascii="仿宋_GB2312" w:eastAsia="仿宋_GB2312" w:hAnsi="仿宋_GB2312" w:cs="仿宋_GB2312" w:hint="eastAsia"/>
          <w:sz w:val="32"/>
          <w:szCs w:val="32"/>
          <w:lang w:val="en-US" w:eastAsia="zh-CN"/>
        </w:rPr>
        <w:t>净水源污水处理厂、洪汇燃气、天瑞燃气</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lang w:val="en-US" w:eastAsia="zh-CN"/>
        </w:rPr>
        <w:t>企业</w:t>
      </w:r>
      <w:r>
        <w:rPr>
          <w:rFonts w:ascii="仿宋_GB2312" w:eastAsia="仿宋_GB2312" w:hAnsi="仿宋_GB2312" w:cs="仿宋_GB2312" w:hint="eastAsia"/>
          <w:sz w:val="32"/>
          <w:szCs w:val="32"/>
        </w:rPr>
        <w:t>，开展形式多样的宣传活动，通过发放宣传资料、</w:t>
      </w:r>
      <w:r>
        <w:rPr>
          <w:rFonts w:ascii="仿宋_GB2312" w:eastAsia="仿宋_GB2312" w:hAnsi="仿宋_GB2312" w:cs="仿宋_GB2312" w:hint="eastAsia"/>
          <w:sz w:val="32"/>
          <w:szCs w:val="32"/>
          <w:lang w:val="en-US" w:eastAsia="zh-CN"/>
        </w:rPr>
        <w:t>微视频</w:t>
      </w:r>
      <w:r>
        <w:rPr>
          <w:rFonts w:ascii="仿宋_GB2312" w:eastAsia="仿宋_GB2312" w:hAnsi="仿宋_GB2312" w:cs="仿宋_GB2312" w:hint="eastAsia"/>
          <w:sz w:val="32"/>
          <w:szCs w:val="32"/>
        </w:rPr>
        <w:t>等，加大对</w:t>
      </w:r>
      <w:r>
        <w:rPr>
          <w:rFonts w:ascii="仿宋_GB2312" w:eastAsia="仿宋_GB2312" w:hAnsi="仿宋_GB2312" w:cs="仿宋_GB2312" w:hint="eastAsia"/>
          <w:sz w:val="32"/>
          <w:szCs w:val="32"/>
          <w:lang w:val="en-US" w:eastAsia="zh-CN"/>
        </w:rPr>
        <w:t>行业内</w:t>
      </w:r>
      <w:r>
        <w:rPr>
          <w:rFonts w:ascii="仿宋_GB2312" w:eastAsia="仿宋_GB2312" w:hAnsi="仿宋_GB2312" w:cs="仿宋_GB2312" w:hint="eastAsia"/>
          <w:sz w:val="32"/>
          <w:szCs w:val="32"/>
        </w:rPr>
        <w:t>法律法规、安全</w:t>
      </w:r>
      <w:r>
        <w:rPr>
          <w:rFonts w:ascii="仿宋_GB2312" w:eastAsia="仿宋_GB2312" w:hAnsi="仿宋_GB2312" w:cs="仿宋_GB2312" w:hint="eastAsia"/>
          <w:sz w:val="32"/>
          <w:szCs w:val="32"/>
          <w:lang w:val="en-US" w:eastAsia="zh-CN"/>
        </w:rPr>
        <w:t>生产</w:t>
      </w:r>
      <w:r>
        <w:rPr>
          <w:rFonts w:ascii="仿宋_GB2312" w:eastAsia="仿宋_GB2312" w:hAnsi="仿宋_GB2312" w:cs="仿宋_GB2312" w:hint="eastAsia"/>
          <w:sz w:val="32"/>
          <w:szCs w:val="32"/>
        </w:rPr>
        <w:t>、防灾减灾、消防安全等工作的宣传普及。截至目前共发放传单</w:t>
      </w:r>
      <w:r>
        <w:rPr>
          <w:rFonts w:ascii="Times New Roman" w:eastAsia="仿宋_GB2312" w:hAnsi="Times New Roman" w:cs="Times New Roman" w:hint="default"/>
          <w:sz w:val="32"/>
          <w:szCs w:val="32"/>
          <w:lang w:val="en-US" w:eastAsia="zh-CN"/>
        </w:rPr>
        <w:t>2600</w:t>
      </w:r>
      <w:r>
        <w:rPr>
          <w:rFonts w:ascii="仿宋_GB2312" w:eastAsia="仿宋_GB2312" w:hAnsi="仿宋_GB2312" w:cs="仿宋_GB2312" w:hint="eastAsia"/>
          <w:sz w:val="32"/>
          <w:szCs w:val="32"/>
        </w:rPr>
        <w:t>余份。</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b w:val="0"/>
          <w:bCs w:val="0"/>
          <w:i w:val="0"/>
          <w:caps w:val="0"/>
          <w:color w:val="333333"/>
          <w:spacing w:val="0"/>
          <w:kern w:val="2"/>
          <w:sz w:val="32"/>
          <w:szCs w:val="32"/>
          <w:shd w:val="clear" w:color="auto" w:fill="FFFFFF"/>
          <w:lang w:val="en-US" w:eastAsia="zh-CN" w:bidi="ar-SA"/>
        </w:rPr>
      </w:pPr>
      <w:r>
        <w:rPr>
          <w:rFonts w:ascii="楷体_GB2312" w:eastAsia="楷体_GB2312" w:hAnsi="楷体_GB2312" w:cs="楷体_GB2312" w:hint="eastAsia"/>
          <w:b/>
          <w:bCs/>
          <w:color w:val="000000"/>
          <w:kern w:val="2"/>
          <w:sz w:val="32"/>
          <w:szCs w:val="32"/>
          <w:lang w:val="en-US" w:eastAsia="zh-CN" w:bidi="ar-SA"/>
        </w:rPr>
        <w:t>（十三）“严格规范公正文明执法”工作开展情况。</w:t>
      </w:r>
      <w:r>
        <w:rPr>
          <w:rFonts w:ascii="仿宋_GB2312" w:eastAsia="仿宋_GB2312" w:hAnsi="仿宋_GB2312" w:cs="仿宋_GB2312" w:hint="eastAsia"/>
          <w:b/>
          <w:bCs/>
          <w:i w:val="0"/>
          <w:caps w:val="0"/>
          <w:color w:val="333333"/>
          <w:spacing w:val="0"/>
          <w:kern w:val="2"/>
          <w:sz w:val="32"/>
          <w:szCs w:val="32"/>
          <w:shd w:val="clear" w:color="auto" w:fill="FFFFFF"/>
          <w:lang w:val="en-US" w:eastAsia="zh-CN" w:bidi="ar-SA"/>
        </w:rPr>
        <w:t>一是</w:t>
      </w:r>
      <w:r>
        <w:rPr>
          <w:rFonts w:ascii="仿宋_GB2312" w:eastAsia="仿宋_GB2312" w:hAnsi="仿宋_GB2312" w:cs="仿宋_GB2312" w:hint="eastAsia"/>
          <w:b w:val="0"/>
          <w:bCs w:val="0"/>
          <w:i w:val="0"/>
          <w:caps w:val="0"/>
          <w:color w:val="333333"/>
          <w:spacing w:val="0"/>
          <w:kern w:val="2"/>
          <w:sz w:val="32"/>
          <w:szCs w:val="32"/>
          <w:shd w:val="clear" w:color="auto" w:fill="FFFFFF"/>
          <w:lang w:val="en-US" w:eastAsia="zh-CN" w:bidi="ar-SA"/>
        </w:rPr>
        <w:t>严格规范执法水平。深入持续推进执法规范化标准化工作。推进执法文书规范化，严格按照《中华人民共和国行政处罚法》《新疆维吾尔自治区住房和城乡建设行政处罚案卷整理指南</w:t>
      </w:r>
      <w:r>
        <w:rPr>
          <w:rFonts w:ascii="仿宋_GB2312" w:eastAsia="仿宋_GB2312" w:hAnsi="仿宋_GB2312" w:cs="仿宋_GB2312" w:hint="eastAsia"/>
          <w:b w:val="0"/>
          <w:bCs w:val="0"/>
          <w:i w:val="0"/>
          <w:caps w:val="0"/>
          <w:color w:val="333333"/>
          <w:spacing w:val="0"/>
          <w:kern w:val="2"/>
          <w:sz w:val="32"/>
          <w:szCs w:val="32"/>
          <w:shd w:val="clear" w:color="auto" w:fill="FFFFFF"/>
          <w:lang w:val="en-US" w:eastAsia="zh-CN" w:bidi="ar-SA"/>
        </w:rPr>
        <w:t>（试行）》</w:t>
      </w:r>
      <w:r>
        <w:rPr>
          <w:rFonts w:ascii="仿宋_GB2312" w:eastAsia="仿宋_GB2312" w:hAnsi="仿宋_GB2312" w:cs="仿宋_GB2312" w:hint="eastAsia"/>
          <w:b w:val="0"/>
          <w:bCs w:val="0"/>
          <w:i w:val="0"/>
          <w:caps w:val="0"/>
          <w:color w:val="333333"/>
          <w:spacing w:val="0"/>
          <w:kern w:val="2"/>
          <w:sz w:val="32"/>
          <w:szCs w:val="32"/>
          <w:shd w:val="clear" w:color="auto" w:fill="FFFFFF"/>
          <w:lang w:val="en-US" w:eastAsia="zh-CN" w:bidi="ar-SA"/>
        </w:rPr>
        <w:t>等相关法律法规发放《违法行为告知书》等执法文书；执法程序规范化，在处理违法案件时坚持遵守公开原则、程序合法原则、证据的真实性及完备性原则、时效性原则；执法行为规范化，在执法过程中严格遵守执法行为规范，统一执法人员着装，按要求佩戴执法证件，做到依法行政、依法办事。</w:t>
      </w:r>
      <w:r>
        <w:rPr>
          <w:rFonts w:ascii="Times New Roman" w:eastAsia="仿宋_GB2312" w:hAnsi="Times New Roman" w:cs="Times New Roman" w:hint="default"/>
          <w:b w:val="0"/>
          <w:bCs w:val="0"/>
          <w:i w:val="0"/>
          <w:caps w:val="0"/>
          <w:color w:val="333333"/>
          <w:spacing w:val="0"/>
          <w:kern w:val="2"/>
          <w:sz w:val="32"/>
          <w:szCs w:val="32"/>
          <w:shd w:val="clear" w:color="auto" w:fill="FFFFFF"/>
          <w:lang w:val="en-US" w:eastAsia="zh-CN" w:bidi="ar-SA"/>
        </w:rPr>
        <w:t>2024</w:t>
      </w:r>
      <w:r>
        <w:rPr>
          <w:rFonts w:ascii="仿宋_GB2312" w:eastAsia="仿宋_GB2312" w:hAnsi="仿宋_GB2312" w:cs="仿宋_GB2312" w:hint="eastAsia"/>
          <w:b w:val="0"/>
          <w:bCs w:val="0"/>
          <w:i w:val="0"/>
          <w:caps w:val="0"/>
          <w:color w:val="333333"/>
          <w:spacing w:val="0"/>
          <w:kern w:val="2"/>
          <w:sz w:val="32"/>
          <w:szCs w:val="32"/>
          <w:shd w:val="clear" w:color="auto" w:fill="FFFFFF"/>
          <w:lang w:val="en-US" w:eastAsia="zh-CN" w:bidi="ar-SA"/>
        </w:rPr>
        <w:t>年共受理行政处罚案件</w:t>
      </w:r>
      <w:r>
        <w:rPr>
          <w:rFonts w:ascii="Times New Roman" w:eastAsia="仿宋_GB2312" w:hAnsi="Times New Roman" w:cs="Times New Roman" w:hint="eastAsia"/>
          <w:b w:val="0"/>
          <w:bCs w:val="0"/>
          <w:i w:val="0"/>
          <w:caps w:val="0"/>
          <w:color w:val="333333"/>
          <w:spacing w:val="0"/>
          <w:kern w:val="2"/>
          <w:sz w:val="32"/>
          <w:szCs w:val="32"/>
          <w:shd w:val="clear" w:color="auto" w:fill="FFFFFF"/>
          <w:lang w:val="en-US" w:eastAsia="zh-CN" w:bidi="ar-SA"/>
        </w:rPr>
        <w:t>71</w:t>
      </w:r>
      <w:r>
        <w:rPr>
          <w:rFonts w:ascii="仿宋_GB2312" w:eastAsia="仿宋_GB2312" w:hAnsi="仿宋_GB2312" w:cs="仿宋_GB2312" w:hint="eastAsia"/>
          <w:b w:val="0"/>
          <w:bCs w:val="0"/>
          <w:i w:val="0"/>
          <w:caps w:val="0"/>
          <w:color w:val="333333"/>
          <w:spacing w:val="0"/>
          <w:kern w:val="2"/>
          <w:sz w:val="32"/>
          <w:szCs w:val="32"/>
          <w:shd w:val="clear" w:color="auto" w:fill="FFFFFF"/>
          <w:lang w:val="en-US" w:eastAsia="zh-CN" w:bidi="ar-SA"/>
        </w:rPr>
        <w:t>起，均在塔城地区信用信息处理平台、乌苏市网格化精准服务智慧平台公示。</w:t>
      </w:r>
      <w:r>
        <w:rPr>
          <w:rFonts w:ascii="仿宋_GB2312" w:eastAsia="仿宋_GB2312" w:hAnsi="仿宋_GB2312" w:cs="仿宋_GB2312" w:hint="eastAsia"/>
          <w:b/>
          <w:bCs/>
          <w:i w:val="0"/>
          <w:caps w:val="0"/>
          <w:color w:val="333333"/>
          <w:spacing w:val="0"/>
          <w:kern w:val="2"/>
          <w:sz w:val="32"/>
          <w:szCs w:val="32"/>
          <w:shd w:val="clear" w:color="auto" w:fill="FFFFFF"/>
          <w:lang w:val="en-US" w:eastAsia="zh-CN" w:bidi="ar-SA"/>
        </w:rPr>
        <w:t>二是</w:t>
      </w:r>
      <w:r>
        <w:rPr>
          <w:rFonts w:ascii="仿宋_GB2312" w:eastAsia="仿宋_GB2312" w:hAnsi="仿宋_GB2312" w:cs="仿宋_GB2312" w:hint="eastAsia"/>
          <w:b w:val="0"/>
          <w:bCs w:val="0"/>
          <w:i w:val="0"/>
          <w:caps w:val="0"/>
          <w:color w:val="333333"/>
          <w:spacing w:val="0"/>
          <w:kern w:val="2"/>
          <w:sz w:val="32"/>
          <w:szCs w:val="32"/>
          <w:shd w:val="clear" w:color="auto" w:fill="FFFFFF"/>
          <w:lang w:val="en-US" w:eastAsia="zh-CN" w:bidi="ar-SA"/>
        </w:rPr>
        <w:t>落实行政裁量权基准制度，严格执行《新疆维吾尔自治区住房和城乡建设行政处罚裁量基准》规范城市管理行政处罚自由裁量权行为，确保行政处罚“过罚相当”。</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黑体" w:eastAsia="黑体" w:hAnsi="黑体" w:cs="黑体" w:hint="eastAsia"/>
          <w:b w:val="0"/>
          <w:bCs w:val="0"/>
          <w:caps w:val="0"/>
          <w:smallCaps w:val="0"/>
          <w:vanish w:val="0"/>
          <w:color w:val="000000" w:themeColor="text1"/>
          <w:kern w:val="2"/>
          <w:sz w:val="32"/>
          <w:szCs w:val="32"/>
          <w:lang w:val="en-US" w:eastAsia="zh-CN" w:bidi="ar-SA"/>
          <w14:textFill>
            <w14:solidFill>
              <w14:schemeClr w14:val="tx1"/>
            </w14:solidFill>
          </w14:textFill>
        </w:rPr>
      </w:pPr>
      <w:r>
        <w:rPr>
          <w:rFonts w:ascii="黑体" w:eastAsia="黑体" w:hAnsi="黑体" w:cs="黑体" w:hint="eastAsia"/>
          <w:b w:val="0"/>
          <w:bCs w:val="0"/>
          <w:caps w:val="0"/>
          <w:smallCaps w:val="0"/>
          <w:vanish w:val="0"/>
          <w:color w:val="000000" w:themeColor="text1"/>
          <w:kern w:val="2"/>
          <w:sz w:val="32"/>
          <w:szCs w:val="32"/>
          <w:lang w:val="en-US" w:eastAsia="zh-CN" w:bidi="ar-SA"/>
          <w14:textFill>
            <w14:solidFill>
              <w14:schemeClr w14:val="tx1"/>
            </w14:solidFill>
          </w14:textFill>
        </w:rPr>
        <w:t>二、存在的问题</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i w:val="0"/>
          <w:iCs w:val="0"/>
          <w:caps w:val="0"/>
          <w:color w:val="333333"/>
          <w:spacing w:val="0"/>
          <w:sz w:val="32"/>
          <w:szCs w:val="32"/>
          <w:lang w:eastAsia="zh-CN"/>
        </w:rPr>
        <w:t>城市管理局法治政府建设</w:t>
      </w:r>
      <w:r>
        <w:rPr>
          <w:rFonts w:ascii="仿宋_GB2312" w:eastAsia="仿宋_GB2312" w:hAnsi="仿宋_GB2312" w:cs="仿宋_GB2312" w:hint="eastAsia"/>
          <w:i w:val="0"/>
          <w:iCs w:val="0"/>
          <w:caps w:val="0"/>
          <w:color w:val="333333"/>
          <w:spacing w:val="0"/>
          <w:sz w:val="32"/>
          <w:szCs w:val="32"/>
        </w:rPr>
        <w:t>工作</w:t>
      </w:r>
      <w:r>
        <w:rPr>
          <w:rFonts w:ascii="仿宋_GB2312" w:eastAsia="仿宋_GB2312" w:hAnsi="仿宋_GB2312" w:cs="仿宋_GB2312" w:hint="eastAsia"/>
          <w:i w:val="0"/>
          <w:iCs w:val="0"/>
          <w:caps w:val="0"/>
          <w:color w:val="333333"/>
          <w:spacing w:val="0"/>
          <w:sz w:val="32"/>
          <w:szCs w:val="32"/>
          <w:lang w:val="en-US" w:eastAsia="zh-CN"/>
        </w:rPr>
        <w:t>虽然</w:t>
      </w:r>
      <w:r>
        <w:rPr>
          <w:rFonts w:ascii="仿宋_GB2312" w:eastAsia="仿宋_GB2312" w:hAnsi="仿宋_GB2312" w:cs="仿宋_GB2312" w:hint="eastAsia"/>
          <w:i w:val="0"/>
          <w:iCs w:val="0"/>
          <w:caps w:val="0"/>
          <w:color w:val="333333"/>
          <w:spacing w:val="0"/>
          <w:sz w:val="32"/>
          <w:szCs w:val="32"/>
        </w:rPr>
        <w:t>取得了一定成效，但</w:t>
      </w:r>
      <w:r>
        <w:rPr>
          <w:rFonts w:ascii="仿宋_GB2312" w:eastAsia="仿宋_GB2312" w:hAnsi="仿宋_GB2312" w:cs="仿宋_GB2312" w:hint="eastAsia"/>
          <w:i w:val="0"/>
          <w:iCs w:val="0"/>
          <w:caps w:val="0"/>
          <w:color w:val="333333"/>
          <w:spacing w:val="0"/>
          <w:sz w:val="32"/>
          <w:szCs w:val="32"/>
          <w:lang w:eastAsia="zh-CN"/>
        </w:rPr>
        <w:t>对照《法治政府建设实施纲要（</w:t>
      </w:r>
      <w:r>
        <w:rPr>
          <w:rFonts w:ascii="Times New Roman" w:eastAsia="仿宋_GB2312" w:hAnsi="Times New Roman" w:cs="Times New Roman" w:hint="default"/>
          <w:i w:val="0"/>
          <w:iCs w:val="0"/>
          <w:caps w:val="0"/>
          <w:color w:val="333333"/>
          <w:spacing w:val="0"/>
          <w:kern w:val="2"/>
          <w:sz w:val="32"/>
          <w:szCs w:val="32"/>
          <w:lang w:val="en-US" w:eastAsia="zh-CN" w:bidi="ar-SA"/>
        </w:rPr>
        <w:t>2021</w:t>
      </w:r>
      <w:r>
        <w:rPr>
          <w:rFonts w:ascii="Times New Roman" w:eastAsia="仿宋_GB2312" w:hAnsi="Times New Roman" w:cs="Times New Roman" w:hint="eastAsia"/>
          <w:i w:val="0"/>
          <w:iCs w:val="0"/>
          <w:caps w:val="0"/>
          <w:color w:val="333333"/>
          <w:spacing w:val="0"/>
          <w:kern w:val="2"/>
          <w:sz w:val="32"/>
          <w:szCs w:val="32"/>
          <w:lang w:val="en-US" w:eastAsia="zh-CN" w:bidi="ar-SA"/>
        </w:rPr>
        <w:t>—2025年</w:t>
      </w:r>
      <w:r>
        <w:rPr>
          <w:rFonts w:ascii="仿宋_GB2312" w:eastAsia="仿宋_GB2312" w:hAnsi="仿宋_GB2312" w:cs="仿宋_GB2312" w:hint="eastAsia"/>
          <w:i w:val="0"/>
          <w:iCs w:val="0"/>
          <w:caps w:val="0"/>
          <w:color w:val="333333"/>
          <w:spacing w:val="0"/>
          <w:sz w:val="32"/>
          <w:szCs w:val="32"/>
          <w:lang w:eastAsia="zh-CN"/>
        </w:rPr>
        <w:t>）》要求还存在以下问题：</w:t>
      </w:r>
      <w:r>
        <w:rPr>
          <w:rFonts w:ascii="仿宋_GB2312" w:eastAsia="仿宋_GB2312" w:hAnsi="仿宋_GB2312" w:cs="仿宋_GB2312" w:hint="eastAsia"/>
          <w:b/>
          <w:bCs/>
          <w:sz w:val="32"/>
          <w:szCs w:val="32"/>
          <w:lang w:val="en-US" w:eastAsia="zh-CN"/>
        </w:rPr>
        <w:t>一是</w:t>
      </w:r>
      <w:r>
        <w:rPr>
          <w:rFonts w:ascii="仿宋_GB2312" w:eastAsia="仿宋_GB2312" w:hAnsi="仿宋_GB2312" w:cs="仿宋_GB2312" w:hint="eastAsia"/>
          <w:sz w:val="32"/>
          <w:szCs w:val="32"/>
        </w:rPr>
        <w:t>法治思维和依法行政能力有待进一步提高。部分干部职工对法律法规的学习不够深入，运用法治思维和方式解决问题的能力有待</w:t>
      </w:r>
      <w:r>
        <w:rPr>
          <w:rFonts w:ascii="仿宋_GB2312" w:eastAsia="仿宋_GB2312" w:hAnsi="仿宋_GB2312" w:cs="仿宋_GB2312" w:hint="eastAsia"/>
          <w:sz w:val="32"/>
          <w:szCs w:val="32"/>
          <w:lang w:val="en-US" w:eastAsia="zh-CN"/>
        </w:rPr>
        <w:t>提高</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b/>
          <w:bCs/>
          <w:sz w:val="32"/>
          <w:szCs w:val="32"/>
          <w:lang w:val="en-US" w:eastAsia="zh-CN"/>
        </w:rPr>
        <w:t>二是</w:t>
      </w:r>
      <w:r>
        <w:rPr>
          <w:rFonts w:ascii="仿宋_GB2312" w:eastAsia="仿宋_GB2312" w:hAnsi="仿宋_GB2312" w:cs="仿宋_GB2312" w:hint="eastAsia"/>
          <w:sz w:val="32"/>
          <w:szCs w:val="32"/>
        </w:rPr>
        <w:t>行政执法规范化水平有待提升。在执法过程中，还存在执法程序不规范、文书制作不严谨等问题</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b/>
          <w:bCs/>
          <w:sz w:val="32"/>
          <w:szCs w:val="32"/>
          <w:lang w:val="en-US" w:eastAsia="zh-CN"/>
        </w:rPr>
        <w:t>三是</w:t>
      </w:r>
      <w:r>
        <w:rPr>
          <w:rFonts w:ascii="仿宋_GB2312" w:eastAsia="仿宋_GB2312" w:hAnsi="仿宋_GB2312" w:cs="仿宋_GB2312" w:hint="eastAsia"/>
          <w:sz w:val="32"/>
          <w:szCs w:val="32"/>
          <w:lang w:eastAsia="zh-CN"/>
        </w:rPr>
        <w:t>城市</w:t>
      </w:r>
      <w:r>
        <w:rPr>
          <w:rFonts w:ascii="仿宋_GB2312" w:eastAsia="仿宋_GB2312" w:hAnsi="仿宋_GB2312" w:cs="仿宋_GB2312" w:hint="eastAsia"/>
          <w:sz w:val="32"/>
          <w:szCs w:val="32"/>
        </w:rPr>
        <w:t>管理法治宣传教育的针对性和实效性不强。对不同群体的宣传教育方式和内容缺乏针对性</w:t>
      </w:r>
      <w:r>
        <w:rPr>
          <w:rFonts w:ascii="仿宋_GB2312" w:eastAsia="仿宋_GB2312" w:hAnsi="仿宋_GB2312" w:cs="仿宋_GB2312" w:hint="eastAsia"/>
          <w:sz w:val="32"/>
          <w:szCs w:val="32"/>
          <w:lang w:eastAsia="zh-CN"/>
        </w:rPr>
        <w:t>。</w:t>
      </w:r>
    </w:p>
    <w:p>
      <w:pPr>
        <w:keepNext w:val="0"/>
        <w:keepLines w:val="0"/>
        <w:pageBreakBefore w:val="0"/>
        <w:widowControl w:val="0"/>
        <w:numPr>
          <w:ilvl w:val="0"/>
          <w:numId w:val="1"/>
        </w:numPr>
        <w:pBdr>
          <w:bottom w:val="single" w:sz="4" w:space="31" w:color="FFFFFF"/>
        </w:pBdr>
        <w:shd w:val="clear" w:color="auto" w:fill="FFFFFF"/>
        <w:kinsoku/>
        <w:wordWrap/>
        <w:overflowPunct/>
        <w:topLinePunct w:val="0"/>
        <w:autoSpaceDE/>
        <w:autoSpaceDN/>
        <w:bidi w:val="0"/>
        <w:adjustRightInd/>
        <w:snapToGrid/>
        <w:spacing w:line="560" w:lineRule="exact"/>
        <w:ind w:left="0" w:firstLine="640" w:leftChars="0" w:firstLineChars="200"/>
        <w:textAlignment w:val="auto"/>
        <w:rPr>
          <w:rFonts w:ascii="黑体" w:eastAsia="黑体" w:hAnsi="黑体" w:cs="黑体" w:hint="eastAsia"/>
          <w:i w:val="0"/>
          <w:iCs w:val="0"/>
          <w:caps w:val="0"/>
          <w:color w:val="333333"/>
          <w:spacing w:val="0"/>
          <w:sz w:val="32"/>
          <w:szCs w:val="32"/>
        </w:rPr>
      </w:pPr>
      <w:r>
        <w:rPr>
          <w:rFonts w:ascii="黑体" w:eastAsia="黑体" w:hAnsi="黑体" w:cs="黑体" w:hint="eastAsia"/>
          <w:i w:val="0"/>
          <w:iCs w:val="0"/>
          <w:caps w:val="0"/>
          <w:color w:val="333333"/>
          <w:spacing w:val="0"/>
          <w:sz w:val="32"/>
          <w:szCs w:val="32"/>
        </w:rPr>
        <w:t>今后工作思路和主要措施</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i w:val="0"/>
          <w:iCs w:val="0"/>
          <w:caps w:val="0"/>
          <w:color w:val="333333"/>
          <w:spacing w:val="0"/>
          <w:kern w:val="2"/>
          <w:sz w:val="32"/>
          <w:szCs w:val="32"/>
          <w:lang w:val="en-US" w:eastAsia="zh-CN" w:bidi="ar-SA"/>
        </w:rPr>
      </w:pPr>
      <w:r>
        <w:rPr>
          <w:rFonts w:ascii="楷体_GB2312" w:eastAsia="楷体_GB2312" w:hAnsi="楷体_GB2312" w:cs="楷体_GB2312" w:hint="eastAsia"/>
          <w:b/>
          <w:bCs/>
          <w:color w:val="000000"/>
          <w:kern w:val="2"/>
          <w:sz w:val="32"/>
          <w:szCs w:val="32"/>
          <w:lang w:val="en-US" w:eastAsia="zh-CN" w:bidi="ar-SA"/>
        </w:rPr>
        <w:t>（一）提高政治站位，强化理论武装。</w:t>
      </w:r>
      <w:r>
        <w:rPr>
          <w:rFonts w:ascii="仿宋_GB2312" w:eastAsia="仿宋_GB2312" w:hAnsi="仿宋_GB2312" w:cs="仿宋_GB2312" w:hint="eastAsia"/>
          <w:i w:val="0"/>
          <w:iCs w:val="0"/>
          <w:caps w:val="0"/>
          <w:color w:val="333333"/>
          <w:spacing w:val="0"/>
          <w:kern w:val="2"/>
          <w:sz w:val="32"/>
          <w:szCs w:val="32"/>
          <w:lang w:val="en-US" w:eastAsia="zh-CN" w:bidi="ar-SA"/>
        </w:rPr>
        <w:t>坚持将习近平法治思想列为全局干部理论学习的重要内容，严格落实《贯彻落实〈法治政府建设实施纲要（</w:t>
      </w:r>
      <w:r>
        <w:rPr>
          <w:rFonts w:ascii="Times New Roman" w:eastAsia="仿宋_GB2312" w:hAnsi="Times New Roman" w:cs="Times New Roman" w:hint="default"/>
          <w:i w:val="0"/>
          <w:iCs w:val="0"/>
          <w:caps w:val="0"/>
          <w:color w:val="333333"/>
          <w:spacing w:val="0"/>
          <w:kern w:val="2"/>
          <w:sz w:val="32"/>
          <w:szCs w:val="32"/>
          <w:lang w:val="en-US" w:eastAsia="zh-CN" w:bidi="ar-SA"/>
        </w:rPr>
        <w:t>2021</w:t>
      </w:r>
      <w:r>
        <w:rPr>
          <w:rFonts w:ascii="Times New Roman" w:eastAsia="仿宋_GB2312" w:hAnsi="Times New Roman" w:cs="Times New Roman" w:hint="eastAsia"/>
          <w:i w:val="0"/>
          <w:iCs w:val="0"/>
          <w:caps w:val="0"/>
          <w:color w:val="333333"/>
          <w:spacing w:val="0"/>
          <w:kern w:val="2"/>
          <w:sz w:val="32"/>
          <w:szCs w:val="32"/>
          <w:lang w:val="en-US" w:eastAsia="zh-CN" w:bidi="ar-SA"/>
        </w:rPr>
        <w:t>—2025</w:t>
      </w:r>
      <w:r>
        <w:rPr>
          <w:rFonts w:ascii="仿宋_GB2312" w:eastAsia="仿宋_GB2312" w:hAnsi="仿宋_GB2312" w:cs="仿宋_GB2312" w:hint="eastAsia"/>
          <w:i w:val="0"/>
          <w:iCs w:val="0"/>
          <w:caps w:val="0"/>
          <w:color w:val="333333"/>
          <w:spacing w:val="0"/>
          <w:kern w:val="2"/>
          <w:sz w:val="32"/>
          <w:szCs w:val="32"/>
          <w:lang w:val="en-US" w:eastAsia="zh-CN" w:bidi="ar-SA"/>
        </w:rPr>
        <w:t>年）实施方案〉工作方案》，把法治政府建设摆在全局工作的突出位置，充分发挥领导干部“头雁”作用，不断提高运用法治思维、法治方式推进工作的能力。</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i w:val="0"/>
          <w:iCs w:val="0"/>
          <w:caps w:val="0"/>
          <w:color w:val="333333"/>
          <w:spacing w:val="0"/>
          <w:sz w:val="32"/>
          <w:szCs w:val="32"/>
          <w:shd w:val="clear" w:color="auto" w:fill="FFFFFF"/>
          <w:lang w:val="en-US" w:eastAsia="zh-CN"/>
        </w:rPr>
      </w:pPr>
      <w:r>
        <w:rPr>
          <w:rFonts w:ascii="楷体_GB2312" w:eastAsia="楷体_GB2312" w:hAnsi="楷体_GB2312" w:cs="楷体_GB2312" w:hint="eastAsia"/>
          <w:b/>
          <w:bCs/>
          <w:color w:val="000000"/>
          <w:kern w:val="2"/>
          <w:sz w:val="32"/>
          <w:szCs w:val="32"/>
          <w:lang w:val="en-US" w:eastAsia="zh-CN" w:bidi="ar-SA"/>
        </w:rPr>
        <w:t>（二）规范行政执法行为，提升行政执法规范化水平。</w:t>
      </w:r>
      <w:r>
        <w:rPr>
          <w:rFonts w:ascii="仿宋_GB2312" w:eastAsia="仿宋_GB2312" w:hAnsi="仿宋_GB2312" w:cs="仿宋_GB2312" w:hint="eastAsia"/>
          <w:i w:val="0"/>
          <w:iCs w:val="0"/>
          <w:caps w:val="0"/>
          <w:color w:val="333333"/>
          <w:spacing w:val="0"/>
          <w:kern w:val="2"/>
          <w:sz w:val="32"/>
          <w:szCs w:val="32"/>
          <w:lang w:val="en-US" w:eastAsia="zh-CN" w:bidi="ar-SA"/>
        </w:rPr>
        <w:t>持续完善行政执法人员常态化学习机制，切实转变观念，全面提高工作人员依法行政工作意识和依法行政工作水平，全力推进依法行政和法治政府建设，提高干部队伍综合素质。加强对行政执法人员的培训和管理，严格执行行政执法程序，规范文书制作，确保执法公正、公平、合法。</w:t>
      </w:r>
      <w:r>
        <w:rPr>
          <w:rFonts w:ascii="仿宋_GB2312" w:eastAsia="仿宋_GB2312" w:hAnsi="仿宋_GB2312" w:cs="仿宋_GB2312" w:hint="eastAsia"/>
          <w:i w:val="0"/>
          <w:iCs w:val="0"/>
          <w:caps w:val="0"/>
          <w:color w:val="333333"/>
          <w:spacing w:val="0"/>
          <w:sz w:val="32"/>
          <w:szCs w:val="32"/>
          <w:shd w:val="clear" w:color="auto" w:fill="FFFFFF"/>
          <w:lang w:val="en-US" w:eastAsia="zh-CN"/>
        </w:rPr>
        <w:t xml:space="preserve"> </w:t>
      </w:r>
    </w:p>
    <w:p>
      <w:pPr>
        <w:keepNext w:val="0"/>
        <w:keepLines w:val="0"/>
        <w:pageBreakBefore w:val="0"/>
        <w:widowControl w:val="0"/>
        <w:numPr>
          <w:ilvl w:val="0"/>
          <w:numId w:val="0"/>
        </w:numPr>
        <w:pBdr>
          <w:bottom w:val="single" w:sz="4" w:space="31" w:color="FFFFFF"/>
        </w:pBdr>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i w:val="0"/>
          <w:iCs w:val="0"/>
          <w:caps w:val="0"/>
          <w:color w:val="333333"/>
          <w:spacing w:val="0"/>
          <w:kern w:val="2"/>
          <w:sz w:val="32"/>
          <w:szCs w:val="32"/>
          <w:lang w:val="en-US" w:eastAsia="zh-CN" w:bidi="ar-SA"/>
        </w:rPr>
      </w:pPr>
      <w:r>
        <w:rPr>
          <w:rFonts w:ascii="楷体_GB2312" w:eastAsia="楷体_GB2312" w:hAnsi="楷体_GB2312" w:cs="楷体_GB2312" w:hint="eastAsia"/>
          <w:b/>
          <w:bCs/>
          <w:color w:val="000000"/>
          <w:kern w:val="2"/>
          <w:sz w:val="32"/>
          <w:szCs w:val="32"/>
          <w:lang w:val="en-US" w:eastAsia="zh-CN" w:bidi="ar-SA"/>
        </w:rPr>
        <w:t>（三）进一步深化宣传教育。</w:t>
      </w:r>
      <w:r>
        <w:rPr>
          <w:rFonts w:ascii="仿宋_GB2312" w:eastAsia="仿宋_GB2312" w:hAnsi="仿宋_GB2312" w:cs="仿宋_GB2312" w:hint="eastAsia"/>
          <w:i w:val="0"/>
          <w:iCs w:val="0"/>
          <w:caps w:val="0"/>
          <w:color w:val="333333"/>
          <w:spacing w:val="0"/>
          <w:kern w:val="2"/>
          <w:sz w:val="32"/>
          <w:szCs w:val="32"/>
          <w:lang w:val="en-US" w:eastAsia="zh-CN" w:bidi="ar-SA"/>
        </w:rPr>
        <w:t>加大对法治政府建设的宣传力度，采取日常宣传和重点宣传相结合的方法，扎实抓好法治宣传统筹工作开展，引导群众知法守法、依法维权，增强宣传的针对性和实效性，进一步营造良好的法治社会氛围。</w:t>
      </w:r>
    </w:p>
    <w:p>
      <w:pPr>
        <w:pStyle w:val="BodyTextFirstIndent"/>
        <w:rPr>
          <w:rFonts w:ascii="仿宋_GB2312" w:eastAsia="仿宋_GB2312" w:hAnsi="仿宋_GB2312" w:cs="仿宋_GB2312" w:hint="eastAsia"/>
          <w:i w:val="0"/>
          <w:iCs w:val="0"/>
          <w:caps w:val="0"/>
          <w:color w:val="333333"/>
          <w:spacing w:val="0"/>
          <w:kern w:val="2"/>
          <w:sz w:val="32"/>
          <w:szCs w:val="32"/>
          <w:lang w:val="en-US" w:eastAsia="zh-CN" w:bidi="ar-SA"/>
        </w:rPr>
      </w:pPr>
    </w:p>
    <w:p>
      <w:pPr>
        <w:pStyle w:val="Foote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hAnsi="仿宋_GB2312" w:cs="仿宋_GB2312" w:hint="eastAsia"/>
          <w:i w:val="0"/>
          <w:iCs w:val="0"/>
          <w:caps w:val="0"/>
          <w:color w:val="333333"/>
          <w:spacing w:val="0"/>
          <w:kern w:val="2"/>
          <w:sz w:val="32"/>
          <w:szCs w:val="32"/>
          <w:lang w:val="en-US" w:eastAsia="zh-CN" w:bidi="ar-SA"/>
        </w:rPr>
      </w:pPr>
      <w:r>
        <w:rPr>
          <w:rFonts w:ascii="仿宋_GB2312" w:eastAsia="仿宋_GB2312" w:hAnsi="仿宋_GB2312" w:cs="仿宋_GB2312" w:hint="eastAsia"/>
          <w:i w:val="0"/>
          <w:iCs w:val="0"/>
          <w:caps w:val="0"/>
          <w:color w:val="333333"/>
          <w:spacing w:val="0"/>
          <w:kern w:val="2"/>
          <w:sz w:val="32"/>
          <w:szCs w:val="32"/>
          <w:lang w:val="en-US" w:eastAsia="zh-CN" w:bidi="ar-SA"/>
        </w:rPr>
        <w:t xml:space="preserve">                             乌苏市城市管理局</w:t>
      </w:r>
    </w:p>
    <w:p>
      <w:pPr>
        <w:pStyle w:val="Footer"/>
        <w:keepNext w:val="0"/>
        <w:keepLines w:val="0"/>
        <w:pageBreakBefore w:val="0"/>
        <w:widowControl w:val="0"/>
        <w:kinsoku/>
        <w:wordWrap/>
        <w:overflowPunct/>
        <w:topLinePunct w:val="0"/>
        <w:autoSpaceDE/>
        <w:autoSpaceDN/>
        <w:bidi w:val="0"/>
        <w:adjustRightInd/>
        <w:snapToGrid w:val="0"/>
        <w:spacing w:line="560" w:lineRule="exact"/>
        <w:textAlignment w:val="auto"/>
      </w:pPr>
      <w:r>
        <w:rPr>
          <w:rFonts w:ascii="仿宋_GB2312" w:eastAsia="仿宋_GB2312" w:hAnsi="仿宋_GB2312" w:cs="仿宋_GB2312" w:hint="eastAsia"/>
          <w:i w:val="0"/>
          <w:iCs w:val="0"/>
          <w:caps w:val="0"/>
          <w:color w:val="333333"/>
          <w:spacing w:val="0"/>
          <w:kern w:val="2"/>
          <w:sz w:val="32"/>
          <w:szCs w:val="32"/>
          <w:lang w:val="en-US" w:eastAsia="zh-CN" w:bidi="ar-SA"/>
        </w:rPr>
        <w:t xml:space="preserve">                              2024年12月3日</w:t>
      </w:r>
    </w:p>
    <w:sectPr>
      <w:pgSz w:w="11906" w:h="16838"/>
      <w:pgMar w:top="2098" w:right="1531" w:bottom="1984" w:left="1531"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A678F7"/>
    <w:multiLevelType w:val="singleLevel"/>
    <w:tmpl w:val="0FA678F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33A1E"/>
    <w:rsid w:val="01F16DDF"/>
    <w:rsid w:val="02950417"/>
    <w:rsid w:val="0303137C"/>
    <w:rsid w:val="08B22A7B"/>
    <w:rsid w:val="0B670B9A"/>
    <w:rsid w:val="0B702586"/>
    <w:rsid w:val="137C3D1C"/>
    <w:rsid w:val="13F54F50"/>
    <w:rsid w:val="13F66D51"/>
    <w:rsid w:val="17485A44"/>
    <w:rsid w:val="1AD10A72"/>
    <w:rsid w:val="1D8A339E"/>
    <w:rsid w:val="1F5E6F34"/>
    <w:rsid w:val="2160227D"/>
    <w:rsid w:val="229C43E4"/>
    <w:rsid w:val="25952DF8"/>
    <w:rsid w:val="25F8114E"/>
    <w:rsid w:val="2B346F22"/>
    <w:rsid w:val="2EBC2EC9"/>
    <w:rsid w:val="33917264"/>
    <w:rsid w:val="3B4A3239"/>
    <w:rsid w:val="3BD14F1E"/>
    <w:rsid w:val="3DC402DA"/>
    <w:rsid w:val="3FA26075"/>
    <w:rsid w:val="42CC6CC1"/>
    <w:rsid w:val="4ED3658D"/>
    <w:rsid w:val="54B1012B"/>
    <w:rsid w:val="59861991"/>
    <w:rsid w:val="5ADA22F7"/>
    <w:rsid w:val="5C785CF9"/>
    <w:rsid w:val="69A23E0C"/>
    <w:rsid w:val="6F8F5CBC"/>
    <w:rsid w:val="76A96BC5"/>
    <w:rsid w:val="7BD559B5"/>
    <w:rsid w:val="7E297089"/>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
    <w:semiHidden/>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autoRedefine/>
    <w:qFormat/>
    <w:pPr>
      <w:keepNext/>
      <w:keepLines/>
      <w:widowControl w:val="0"/>
      <w:spacing w:before="260" w:after="260" w:line="415" w:lineRule="auto"/>
      <w:outlineLvl w:val="2"/>
    </w:pPr>
    <w:rPr>
      <w:b/>
      <w:bCs/>
      <w:sz w:val="32"/>
      <w:szCs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BodyTextFirstIndent">
    <w:name w:val="Body Text First Indent"/>
    <w:basedOn w:val="BodyText"/>
    <w:next w:val="Footer"/>
    <w:autoRedefine/>
    <w:qFormat/>
    <w:pPr>
      <w:ind w:firstLine="420" w:firstLineChars="100"/>
    </w:pPr>
  </w:style>
  <w:style w:type="paragraph" w:styleId="BodyText">
    <w:name w:val="Body Text"/>
    <w:basedOn w:val="Normal"/>
    <w:next w:val="TOC5"/>
    <w:autoRedefine/>
    <w:qFormat/>
    <w:pPr>
      <w:spacing w:after="120" w:afterLines="0" w:afterAutospacing="0"/>
    </w:pPr>
  </w:style>
  <w:style w:type="paragraph" w:styleId="TOC5">
    <w:name w:val="toc 5"/>
    <w:basedOn w:val="Normal"/>
    <w:next w:val="Normal"/>
    <w:autoRedefine/>
    <w:qFormat/>
    <w:pPr>
      <w:ind w:left="1680"/>
    </w:pPr>
  </w:style>
  <w:style w:type="paragraph" w:styleId="Footer">
    <w:name w:val="footer"/>
    <w:basedOn w:val="Normal"/>
    <w:autoRedefine/>
    <w:qFormat/>
    <w:pPr>
      <w:tabs>
        <w:tab w:val="center" w:pos="4153"/>
        <w:tab w:val="right" w:pos="8306"/>
      </w:tabs>
      <w:snapToGrid w:val="0"/>
      <w:jc w:val="left"/>
    </w:pPr>
    <w:rPr>
      <w:sz w:val="18"/>
    </w:rPr>
  </w:style>
  <w:style w:type="paragraph" w:styleId="NormalWeb">
    <w:name w:val="Normal (Web)"/>
    <w:basedOn w:val="Normal"/>
    <w:autoRedefine/>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11</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2025-01-14T02:27:00Z</dcterms:created>
  <dcterms:modified xsi:type="dcterms:W3CDTF">2025-03-27T09:27:25Z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2C4B6A5C11CF4D3DAA0ABC1DBD1679A3_12</vt:lpwstr>
  </property>
  <property fmtid="{D5CDD505-2E9C-101B-9397-08002B2CF9AE}" pid="3" name="KSOProductBuildVer">
    <vt:lpwstr>2052-12.1.0.16729</vt:lpwstr>
  </property>
</Properties>
</file>