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商务和工业信息化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局202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年法治政府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建设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情况报告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年，乌苏市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shd w:val="clear" w:color="auto" w:fill="auto"/>
          <w:lang w:val="en-US" w:eastAsia="zh-CN"/>
        </w:rPr>
        <w:t>商务和工业信息化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局坚持以习近平新时代中国特色社会主义思想为指导，深入学习贯彻党的二十大精神，认真学习贯彻习近平法治思想，对标对表法治政府建设各项指标要求，以强化领导、压实责任、确保落实为主线，围绕自身职能、立足本职工作，不断加强法治化建设，积极推进依法行政、持续优化营商环境、服务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发展，法治建设各项工作取得了新进展。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outlineLvl w:val="9"/>
        <w:rPr>
          <w:rFonts w:ascii="黑体" w:eastAsia="黑体" w:hAnsi="黑体" w:cs="黑体"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shd w:val="clear" w:color="auto" w:fill="auto"/>
          <w:lang w:val="en-US" w:eastAsia="zh-CN"/>
        </w:rPr>
        <w:t>一、推进法治政府建设的主要举措和成效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rPr>
          <w:rFonts w:ascii="楷体_GB2312" w:eastAsia="楷体_GB2312" w:hAnsi="楷体_GB2312" w:cs="楷体_GB2312" w:hint="eastAsia"/>
          <w:b/>
          <w:bCs/>
          <w:color w:val="000000"/>
          <w:sz w:val="32"/>
          <w:shd w:val="clear" w:color="auto" w:fill="auto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hd w:val="clear" w:color="auto" w:fill="auto"/>
          <w:lang w:eastAsia="zh-CN"/>
        </w:rPr>
        <w:t>（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hd w:val="clear" w:color="auto" w:fill="auto"/>
          <w:lang w:val="en-US" w:eastAsia="zh-CN"/>
        </w:rPr>
        <w:t>一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hd w:val="clear" w:color="auto" w:fill="auto"/>
          <w:lang w:eastAsia="zh-CN"/>
        </w:rPr>
        <w:t>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hd w:val="clear" w:color="auto" w:fill="auto"/>
          <w:lang w:val="en-US" w:eastAsia="zh-CN"/>
        </w:rPr>
        <w:t>组强引向，筑牢学习根基。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highlight w:val="none"/>
          <w:lang w:val="en-US" w:eastAsia="zh-CN"/>
        </w:rPr>
        <w:t>切实履行“第一责任人”职责。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结合工作实际，制定了年度《法治建设工作计划》，细化法治建设具体工作任务，并将法治建设列入局党组工作重点，召开年度法治建设和普法工作会议，全面总结202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年度法治建设工作，对202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年法治建设工作进行安排部署，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将法治建设与经济发展同部署、同推进、同督促，全面推动法治建设“一规划两纲要</w:t>
      </w:r>
      <w:r>
        <w:rPr>
          <w:rFonts w:ascii="仿宋_GB2312" w:eastAsia="仿宋_GB2312" w:hAnsi="仿宋_GB2312" w:cs="仿宋_GB2312" w:hint="default"/>
          <w:sz w:val="32"/>
          <w:szCs w:val="32"/>
          <w:highlight w:val="none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工作落地见效。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坚持领导干部带头学法，将学习法治理论知识纳入党组理论学习中心组集中学习计划，全面提升法治素养，促进法治思维能力的日常养成，不断增强运用法律手段履职的能力。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auto"/>
          <w:lang w:val="en-US" w:eastAsia="zh-CN"/>
        </w:rPr>
        <w:t>续强化习近平法治思想学习培训。把深入学习宣传贯彻好习近平法治思想作为全年的重大政治任务，列入党组理论学习中心组和干部理论学习重点内容，加强对习近平法治思想的宣传解读。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充分发挥“法宣在线”“学习强国”等普法平台等新媒体普法宣传作用，组织全体干部职工在法宣在线平台进行法律知识测试。干部法治意识和法治素养显著增强，依法行政意识和能力显著提升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shd w:val="clear" w:color="auto" w:fill="auto"/>
          <w:lang w:val="en-US" w:eastAsia="zh-CN"/>
        </w:rPr>
        <w:t>2024年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采取“三会一课”、主题党日、中心组学习等形式，学习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宪法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中国共产党纪律处分条例、安全生产法、保密法等党内法规、国家法律及行业法规，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开展法治学习活动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40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余次。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（二）履行职责，推进依法执政。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hAnsi="宋体" w:cs="仿宋_GB2312" w:hint="eastAsia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严格执行重大行政决策程序制度。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认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真落实民主集中制和“三重一大”制度，党组全年召开“三重一大”会议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次；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对全局性工作和重大事项进行合法性审查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ascii="仿宋_GB2312" w:eastAsia="仿宋_GB2312" w:hAnsi="仿宋_GB2312" w:cs="仿宋_GB2312" w:hint="eastAsia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落实法律顾问制度。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新疆雪峰律师事务所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签订法律顾问协议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招商引资合同审核、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政策性文件出台、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信访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矛盾调处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中，充分听取法律顾问意见，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认真开展公平竞争审查，实现重大决策律师全程参与，有效防范法律风险。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全年进行法律咨询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余次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年述法，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年自治区、地区、乌苏市法治督察反馈各项问题均完成整改。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加强规范性政策性文件管理。严格执行行政规范性文件备案审查制度，加强合法性审查，严格做好规范性文件制定、审核、报备、清理等工作，出台政策性文件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份。对标《公平竞争审查条例》梳理招商引资政策协议，废止政策文件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份，清理招商引资协议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份，营造依法平等的法治化营商环境。按照司法局指导要求，完成对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2019—2023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年以来行政规范性文件和政策性文件集中清理工作，及时对过期、失效或与现行法律法规相冲突的文件进行清理，完成清理废止政策性文件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7</w:t>
      </w:r>
      <w:r>
        <w:rPr>
          <w:rFonts w:ascii="仿宋_GB2312" w:eastAsia="仿宋_GB2312" w:hAnsi="宋体" w:cs="仿宋_GB2312" w:hint="eastAsia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件，努力做到行政规范性文件的立、改、废与经济社会发展进程相适应，更好地服务于全市经济社会发展。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三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）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主动防范，及时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调处解纷。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畅通群众诉求渠道，高效回应社会关切。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“12345”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政务服务便民热线计受理群众诉求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件，回复率与满意度均达到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100%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以上，切实做到“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事事有回应、件件有落实”。加强行业领域信访矛盾排查工作，创新运用法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律手段化解矛盾纠纷，化解各类信访矛盾纠纷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余件，有效提升群众满意度，切实提高执法规范化水平。</w:t>
      </w:r>
      <w:r>
        <w:rPr>
          <w:rFonts w:ascii="楷体_GB2312" w:eastAsia="楷体_GB2312" w:hAnsi="楷体_GB2312" w:cs="楷体_GB2312" w:hint="default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加强部门联动，加大拖欠企业账款偿还力度。联合财政相关部门，加强清欠线索台账管理，完善跟踪督办、闭环管理工作机制，切实保护中小企业合法权益。提前一年完成全市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1.1</w:t>
      </w:r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亿多元清欠任务；切实抓好线索问题督办，依法处理化解矛盾纠纷，今年共受理拖欠中小企业账款问题投诉线索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条，办结率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100%</w:t>
      </w:r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。联合财政、审计部门成立专班，全面摸排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156</w:t>
      </w:r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个单位拖欠企业账款底数并建立台账，为市委、市政府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决策提供依据。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加强行政复议和行政应诉工作。不断加强和改进行政应诉工作，提高行政复议和行政应诉效能，</w:t>
      </w:r>
      <w:r>
        <w:rPr>
          <w:rFonts w:ascii="Times New Roman" w:eastAsia="仿宋_GB2312" w:hAnsi="Times New Roman" w:cs="Times New Roman" w:hint="default"/>
          <w:color w:val="000000"/>
          <w:kern w:val="36"/>
          <w:sz w:val="32"/>
          <w:szCs w:val="32"/>
          <w:shd w:val="clear" w:color="auto" w:fill="auto"/>
          <w:lang w:val="en-US" w:eastAsia="zh-CN"/>
        </w:rPr>
        <w:t>进一步促进依法行政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。20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24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年无行政复议和行政诉讼案件。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四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）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刚柔并济，精准服务企业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highlight w:val="none"/>
          <w:lang w:val="en-US" w:eastAsia="zh-CN"/>
        </w:rPr>
        <w:t>强化行业监管，构建法治化治理体系。紧盯餐饮、宾馆、加油站、商贸综合体等重点领域安全隐患，联合城市管理局、市监局等部门组织开展餐饮燃气场所安全专项排查整治行动，共消除安全隐患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190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余条。持续推进“双随机、一公开”制度，加强信息公开力度，确保监管透明。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ascii="楷体_GB2312" w:eastAsia="楷体_GB2312" w:hAnsi="楷体_GB2312" w:cs="楷体_GB2312" w:hint="default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highlight w:val="none"/>
          <w:lang w:val="en-US" w:eastAsia="zh-CN" w:bidi="ar-SA"/>
        </w:rPr>
        <w:t>落实</w:t>
      </w:r>
      <w:r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  <w:highlight w:val="none"/>
          <w:lang w:val="en-US" w:eastAsia="zh-CN" w:bidi="ar-SA"/>
        </w:rPr>
        <w:t>包容审慎监管政策</w:t>
      </w:r>
      <w:r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highlight w:val="none"/>
          <w:lang w:val="en-US" w:eastAsia="zh-CN" w:bidi="ar-SA"/>
        </w:rPr>
        <w:t>。对行业领域企业</w:t>
      </w:r>
      <w:r>
        <w:rPr>
          <w:rFonts w:ascii="仿宋_GB2312" w:eastAsia="仿宋_GB2312" w:hAnsi="仿宋_GB2312" w:cs="仿宋_GB2312" w:hint="default"/>
          <w:b w:val="0"/>
          <w:bCs/>
          <w:kern w:val="2"/>
          <w:sz w:val="32"/>
          <w:szCs w:val="32"/>
          <w:highlight w:val="none"/>
          <w:lang w:val="en-US" w:eastAsia="zh-CN" w:bidi="ar-SA"/>
        </w:rPr>
        <w:t>加强行政指导、推广说服教育、劝导示范、警示告诫、指导约谈等方式，实行柔性执法、说理性执法。健全行政执法人员以案释法制度，把普法融入行政执法全过程，开展实时精准普法。</w:t>
      </w:r>
      <w:r>
        <w:rPr>
          <w:rFonts w:ascii="楷体_GB2312" w:eastAsia="楷体_GB2312" w:hAnsi="楷体_GB2312" w:cs="楷体_GB2312" w:hint="eastAsia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三是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shd w:val="clear" w:color="auto" w:fill="auto"/>
          <w:lang w:val="en-US" w:eastAsia="zh-CN" w:bidi="ar-SA"/>
        </w:rPr>
        <w:t>积极服务企业，优化营商环境。将优化营商环境工作作为全局重点工作之一，诚信履约，精准破解企业难题，护航企业行稳致远。成立乌苏市招商服务促进中心，联合工业园区等部门，对新引项目、生产企业提供全生命周期管理服务，建立助企纾困台账，及时协调解决企业在手续办理、生产经营、人员招聘、融资需求等方面存在的问题，确保项目尽早开工、达产见效，全年解决企业困难诉求1000余件，为企业发展提供有力保障。</w:t>
      </w:r>
      <w:r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五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）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hd w:val="clear" w:color="auto" w:fill="auto"/>
          <w:lang w:val="en-US" w:eastAsia="zh-CN"/>
        </w:rPr>
        <w:t>力推普法，引领守法风尚</w:t>
      </w:r>
      <w:r>
        <w:rPr>
          <w:rFonts w:ascii="Times New Roman" w:eastAsia="楷体_GB2312" w:hAnsi="Times New Roman" w:cs="Times New Roman" w:hint="default"/>
          <w:b/>
          <w:bCs/>
          <w:color w:val="000000"/>
          <w:sz w:val="32"/>
          <w:shd w:val="clear" w:color="auto" w:fill="auto"/>
          <w:lang w:val="en-US" w:eastAsia="zh-CN"/>
        </w:rPr>
        <w:t>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提高政治站位，强化组织领导和基础保障。局党组高度重视普法宣传教育工作，将法治宣传教育工作列入党组会议题进行研究部署和重点推动，坚持法治宣传教育工作与业务工作同部署、同要求、同监督、同考核，推动形成上下联动、齐抓共管的法治宣传教育合力，做到思想认识到位、组织机构到位、普法规划到位、工作责任到位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紧盯主责主业，持续推进重点普法任务。认真贯彻《法治宣传教育第八个五年规划（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2021—2025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年）》，落实领导干部学法制度和“谁执法谁普法”普法责任制。</w:t>
      </w: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ascii="楷体_GB2312" w:eastAsia="楷体_GB2312" w:hAnsi="楷体_GB2312" w:cs="楷体_GB2312" w:hint="default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ascii="仿宋_GB2312" w:eastAsia="仿宋_GB2312" w:hAnsi="仿宋_GB2312" w:cs="仿宋_GB2312" w:hint="default"/>
          <w:b w:val="0"/>
          <w:bCs/>
          <w:sz w:val="32"/>
          <w:szCs w:val="32"/>
          <w:shd w:val="clear" w:color="auto" w:fill="auto"/>
          <w:lang w:val="en-US" w:eastAsia="zh-CN"/>
        </w:rPr>
        <w:t>抓住宣传节点，组织开展法治宣传活动。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聚焦“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12·4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”国家宪法日、宪法宣传周、安全生产月、保密宣传月等重要时间节点，深入加油站、商贸综合体、住宿餐饮等行业内人流密集区域，发放安全生产法、宪法等宣传单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800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auto"/>
          <w:lang w:val="en-US" w:eastAsia="zh-CN"/>
        </w:rPr>
        <w:t>余份，形成了行业内企业严守法律底线的良好环境。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ascii="仿宋_GB2312" w:eastAsia="仿宋_GB2312" w:hAnsi="仿宋_GB2312" w:cs="仿宋_GB2312" w:hint="default"/>
          <w:b w:val="0"/>
          <w:bCs/>
          <w:sz w:val="32"/>
          <w:szCs w:val="32"/>
          <w:shd w:val="clear" w:color="auto" w:fill="auto"/>
          <w:lang w:val="en-US" w:eastAsia="zh-CN"/>
        </w:rPr>
        <w:t>我局在推进法治政府建设上虽然取得了一定成绩，但仍存在一些问题和薄弱环节：</w:t>
      </w:r>
      <w:r>
        <w:rPr>
          <w:rFonts w:ascii="楷体_GB2312" w:eastAsia="楷体_GB2312" w:hAnsi="楷体_GB2312" w:cs="楷体_GB2312" w:hint="eastAsia"/>
          <w:b/>
          <w:bCs w:val="0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ascii="仿宋_GB2312" w:eastAsia="仿宋_GB2312" w:hAnsi="仿宋_GB2312" w:cs="仿宋_GB2312" w:hint="default"/>
          <w:b w:val="0"/>
          <w:bCs/>
          <w:sz w:val="32"/>
          <w:szCs w:val="32"/>
          <w:shd w:val="clear" w:color="auto" w:fill="auto"/>
          <w:lang w:val="en-US" w:eastAsia="zh-CN"/>
        </w:rPr>
        <w:t>法治学习的方式单一，干部职工运用法治思维和手段解决问题的意识和能力还不够强，普法宣传教育落实还不到位。</w:t>
      </w:r>
      <w:r>
        <w:rPr>
          <w:rFonts w:ascii="楷体_GB2312" w:eastAsia="楷体_GB2312" w:hAnsi="楷体_GB2312" w:cs="楷体_GB2312" w:hint="default"/>
          <w:b/>
          <w:bCs w:val="0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ascii="仿宋_GB2312" w:eastAsia="仿宋_GB2312" w:hAnsi="仿宋_GB2312" w:cs="仿宋_GB2312" w:hint="default"/>
          <w:b w:val="0"/>
          <w:bCs/>
          <w:sz w:val="32"/>
          <w:szCs w:val="32"/>
          <w:shd w:val="clear" w:color="auto" w:fill="auto"/>
          <w:lang w:val="en-US" w:eastAsia="zh-CN"/>
        </w:rPr>
        <w:t>执法干部对落实行政执法“三项制度”的重要性、紧迫性认识有待提高，执法监管和普法融合有待进一步加强。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二、下一步工作计划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（一）</w:t>
      </w:r>
      <w:r>
        <w:rPr>
          <w:rFonts w:ascii="楷体_GB2312" w:eastAsia="楷体_GB2312" w:hAnsi="楷体_GB2312" w:cs="楷体_GB2312" w:hint="default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在法治政府建设上再深入。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严格落实党政主要负责人履行推进法治建设第一责任人职责，将法治建设列入局党组重要议事日程，统筹部署推进相关工作。聚焦学思用贯通、知信行统一持续用力，真正把习近平法治思想转化为法治建设的生动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以法治为支撑，利用专项检查、联合检查等有效手段，开展重点领域监管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检查活动，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依法履职尽责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leftChars="0" w:firstLineChars="200"/>
        <w:jc w:val="both"/>
        <w:textAlignment w:val="auto"/>
        <w:rPr>
          <w:rFonts w:hint="eastAsia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ascii="楷体_GB2312" w:eastAsia="楷体_GB2312" w:hAnsi="楷体_GB2312" w:cs="楷体_GB2312" w:hint="default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在普法宣传力度上再强化。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认真落实“谁执法谁普法”责任制，以线上宣传和线下指导为抓手，将普法有效融合于监管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auto"/>
          <w:lang w:val="en-US" w:eastAsia="zh-CN"/>
        </w:rPr>
        <w:t>和服务发展之中，以更加丰富多样的形式开展各类宣传教育活动，增强普法依法治理的实效性，助力经济社会高质量发展。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乌苏市商务和工业信息化局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default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2025</w:t>
      </w:r>
      <w:r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3</w:t>
      </w:r>
      <w:r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  <w:lang w:val="en-US" w:eastAsia="zh-CN" w:bidi="ar-SA"/>
        </w:rPr>
        <w:t>26</w:t>
      </w:r>
      <w:r>
        <w:rPr>
          <w:rFonts w:ascii="仿宋_GB2312" w:eastAsia="仿宋_GB2312" w:hAnsi="仿宋_GB2312" w:cs="仿宋_GB2312" w:hint="eastAsia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sectPr>
      <w:footerReference w:type="default" r:id="rId5"/>
      <w:pgSz w:w="11906" w:h="16838"/>
      <w:pgMar w:top="2098" w:right="1531" w:bottom="1984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840A8"/>
    <w:rsid w:val="023B2499"/>
    <w:rsid w:val="05644C43"/>
    <w:rsid w:val="06AC59C3"/>
    <w:rsid w:val="08065752"/>
    <w:rsid w:val="09E27CC3"/>
    <w:rsid w:val="0F7F0EF9"/>
    <w:rsid w:val="0FA840A8"/>
    <w:rsid w:val="106D0B81"/>
    <w:rsid w:val="1077526D"/>
    <w:rsid w:val="11263022"/>
    <w:rsid w:val="12EA3F63"/>
    <w:rsid w:val="147B3C2A"/>
    <w:rsid w:val="148235B5"/>
    <w:rsid w:val="150438B3"/>
    <w:rsid w:val="16783D20"/>
    <w:rsid w:val="16EB4B9C"/>
    <w:rsid w:val="189F6B57"/>
    <w:rsid w:val="19B263B5"/>
    <w:rsid w:val="1A9F7592"/>
    <w:rsid w:val="1C6B5EFC"/>
    <w:rsid w:val="20A11393"/>
    <w:rsid w:val="217F05E4"/>
    <w:rsid w:val="239D2E21"/>
    <w:rsid w:val="24240DD8"/>
    <w:rsid w:val="28190D22"/>
    <w:rsid w:val="28E54DDB"/>
    <w:rsid w:val="28F61F4A"/>
    <w:rsid w:val="29EC4B8F"/>
    <w:rsid w:val="2A031B7E"/>
    <w:rsid w:val="2ACE4759"/>
    <w:rsid w:val="2CE16AB0"/>
    <w:rsid w:val="2D772374"/>
    <w:rsid w:val="2E1E4E36"/>
    <w:rsid w:val="2F8F1919"/>
    <w:rsid w:val="2FDB4229"/>
    <w:rsid w:val="3014620C"/>
    <w:rsid w:val="319B6BB5"/>
    <w:rsid w:val="31D7188A"/>
    <w:rsid w:val="32354F6B"/>
    <w:rsid w:val="331E67AA"/>
    <w:rsid w:val="33A20D45"/>
    <w:rsid w:val="348F2541"/>
    <w:rsid w:val="36712A9F"/>
    <w:rsid w:val="389A39EB"/>
    <w:rsid w:val="3B341131"/>
    <w:rsid w:val="3DFA50C6"/>
    <w:rsid w:val="40DB2C76"/>
    <w:rsid w:val="42A80D75"/>
    <w:rsid w:val="467001B9"/>
    <w:rsid w:val="46D0030E"/>
    <w:rsid w:val="486D2A7E"/>
    <w:rsid w:val="4C7D7F89"/>
    <w:rsid w:val="4E6F6FA8"/>
    <w:rsid w:val="4EF72C1C"/>
    <w:rsid w:val="5324552F"/>
    <w:rsid w:val="55F42B14"/>
    <w:rsid w:val="56312A30"/>
    <w:rsid w:val="57645C34"/>
    <w:rsid w:val="5A2926F9"/>
    <w:rsid w:val="5B414CC1"/>
    <w:rsid w:val="5F3B026F"/>
    <w:rsid w:val="62B94A87"/>
    <w:rsid w:val="63721CB7"/>
    <w:rsid w:val="63EA386F"/>
    <w:rsid w:val="64EA03D9"/>
    <w:rsid w:val="67CC4524"/>
    <w:rsid w:val="69960847"/>
    <w:rsid w:val="69A903FF"/>
    <w:rsid w:val="69F36887"/>
    <w:rsid w:val="6AE67270"/>
    <w:rsid w:val="6B564872"/>
    <w:rsid w:val="6E4A7901"/>
    <w:rsid w:val="6EB76C30"/>
    <w:rsid w:val="700D46FF"/>
    <w:rsid w:val="72BA50D7"/>
    <w:rsid w:val="74AB40F8"/>
    <w:rsid w:val="77A64D5A"/>
    <w:rsid w:val="79A757A5"/>
    <w:rsid w:val="7D523E4A"/>
    <w:rsid w:val="7E040089"/>
    <w:rsid w:val="7EBA3601"/>
    <w:rsid w:val="7EE86F76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 w:qFormat="1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260" w:after="260" w:line="416" w:lineRule="auto"/>
      <w:outlineLvl w:val="2"/>
    </w:pPr>
    <w:rPr>
      <w:rFonts w:ascii="Calibri" w:hAnsi="Calibri" w:hint="default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8">
    <w:name w:val="index 8"/>
    <w:basedOn w:val="Normal"/>
    <w:next w:val="Normal"/>
    <w:qFormat/>
    <w:pPr>
      <w:ind w:left="2940"/>
      <w:jc w:val="center"/>
    </w:pPr>
  </w:style>
  <w:style w:type="paragraph" w:styleId="BodyText">
    <w:name w:val="Body Text"/>
    <w:basedOn w:val="Normal"/>
    <w:next w:val="BodyText21"/>
    <w:autoRedefine/>
    <w:qFormat/>
    <w:pPr>
      <w:jc w:val="center"/>
    </w:pPr>
    <w:rPr>
      <w:rFonts w:eastAsia="方正小标宋简体"/>
      <w:b/>
      <w:bCs/>
      <w:sz w:val="48"/>
    </w:rPr>
  </w:style>
  <w:style w:type="paragraph" w:customStyle="1" w:styleId="BodyText21">
    <w:name w:val="Body Text 21"/>
    <w:basedOn w:val="Normal"/>
    <w:autoRedefine/>
    <w:qFormat/>
    <w:pPr>
      <w:spacing w:after="120" w:line="480" w:lineRule="auto"/>
    </w:pPr>
    <w:rPr>
      <w:rFonts w:eastAsia="仿宋_GB2312"/>
      <w:sz w:val="32"/>
      <w:szCs w:val="32"/>
    </w:rPr>
  </w:style>
  <w:style w:type="paragraph" w:styleId="BodyTextIndent">
    <w:name w:val="Body Text Indent"/>
    <w:basedOn w:val="Normal"/>
    <w:next w:val="BodyText"/>
    <w:autoRedefine/>
    <w:qFormat/>
    <w:pPr>
      <w:spacing w:after="120"/>
      <w:ind w:left="420" w:leftChars="200"/>
    </w:pPr>
    <w:rPr>
      <w:rFonts w:ascii="Calibri" w:hAnsi="Calibri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BodyTextFirstIndent">
    <w:name w:val="Body Text First Indent"/>
    <w:basedOn w:val="BodyText"/>
    <w:next w:val="Normal"/>
    <w:autoRedefine/>
    <w:qFormat/>
    <w:pPr>
      <w:spacing w:after="120"/>
      <w:ind w:firstLine="420" w:firstLineChars="100"/>
    </w:pPr>
    <w:rPr>
      <w:sz w:val="30"/>
    </w:rPr>
  </w:style>
  <w:style w:type="paragraph" w:styleId="BodyTextFirstIndent2">
    <w:name w:val="Body Text First Indent 2"/>
    <w:basedOn w:val="BodyTextIndent"/>
    <w:next w:val="Normal"/>
    <w:autoRedefine/>
    <w:qFormat/>
    <w:pPr>
      <w:widowControl w:val="0"/>
      <w:spacing w:after="120"/>
      <w:ind w:left="420" w:firstLine="420" w:leftChars="200" w:firstLineChars="200"/>
      <w:jc w:val="both"/>
    </w:pPr>
    <w:rPr>
      <w:rFonts w:ascii="Times New Roman" w:eastAsia="仿宋" w:hAnsi="Times New Roman" w:cstheme="minorBidi"/>
      <w:kern w:val="0"/>
      <w:sz w:val="24"/>
      <w:szCs w:val="24"/>
      <w:lang w:val="en-US" w:eastAsia="zh-CN" w:bidi="ar-SA"/>
    </w:rPr>
  </w:style>
  <w:style w:type="paragraph" w:customStyle="1" w:styleId="-1">
    <w:name w:val="正文-公1"/>
    <w:basedOn w:val="Normal"/>
    <w:autoRedefine/>
    <w:qFormat/>
    <w:pPr>
      <w:ind w:firstLine="200" w:firstLineChars="2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2025-03-26T04:38:00Z</cp:lastPrinted>
  <dcterms:created xsi:type="dcterms:W3CDTF">2024-03-07T12:11:00Z</dcterms:created>
  <dcterms:modified xsi:type="dcterms:W3CDTF">2025-03-27T09:31:56Z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9276BC19A07C4D14B45CF5BCD3D112EA</vt:lpwstr>
  </property>
  <property fmtid="{D5CDD505-2E9C-101B-9397-08002B2CF9AE}" pid="3" name="KSOProductBuildVer">
    <vt:lpwstr>2052-12.1.0.16729</vt:lpwstr>
  </property>
</Properties>
</file>