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乌苏市市场监督管理局2024年法治政府</w:t>
      </w:r>
      <w:r>
        <w:rPr>
          <w:rFonts w:ascii="方正小标宋简体" w:eastAsia="方正小标宋简体" w:hAnsi="方正小标宋简体" w:cs="方正小标宋简体" w:hint="eastAsia"/>
          <w:sz w:val="44"/>
          <w:szCs w:val="44"/>
          <w:lang w:val="en-US" w:eastAsia="zh-CN"/>
        </w:rPr>
        <w:t xml:space="preserve">  </w:t>
      </w:r>
      <w:r>
        <w:rPr>
          <w:rFonts w:ascii="方正小标宋简体" w:eastAsia="方正小标宋简体" w:hAnsi="方正小标宋简体" w:cs="方正小标宋简体" w:hint="eastAsia"/>
          <w:sz w:val="44"/>
          <w:szCs w:val="44"/>
        </w:rPr>
        <w:t>建设工作报告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eastAsia="仿宋_GB2312" w:hAnsi="仿宋_GB2312" w:cs="仿宋_GB2312"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 乌苏市市场监督管理局</w:t>
      </w:r>
      <w:r>
        <w:rPr>
          <w:rFonts w:ascii="仿宋_GB2312" w:eastAsia="仿宋_GB2312" w:hAnsi="仿宋_GB2312" w:cs="仿宋_GB2312" w:hint="eastAsia"/>
          <w:sz w:val="32"/>
          <w:szCs w:val="32"/>
          <w:lang w:val="en-US" w:eastAsia="zh-CN"/>
        </w:rPr>
        <w:t>认真</w:t>
      </w:r>
      <w:r>
        <w:rPr>
          <w:rFonts w:ascii="仿宋_GB2312" w:eastAsia="仿宋_GB2312" w:hAnsi="仿宋_GB2312" w:cs="仿宋_GB2312" w:hint="eastAsia"/>
          <w:sz w:val="32"/>
          <w:szCs w:val="32"/>
        </w:rPr>
        <w:t>贯彻党的二十大精神，深入学习习近平法治思想，坚持依法行政</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 不断完善法治体系建设</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 强化组织保障和能力建设</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 丰富执法普法内容</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 规范执法行为。现将乌苏市市场监督管理局2024年法治政府建设工作报告</w:t>
      </w:r>
      <w:r>
        <w:rPr>
          <w:rFonts w:ascii="仿宋_GB2312" w:eastAsia="仿宋_GB2312" w:hAnsi="仿宋_GB2312" w:cs="仿宋_GB2312" w:hint="eastAsia"/>
          <w:sz w:val="32"/>
          <w:szCs w:val="32"/>
          <w:lang w:eastAsia="zh-CN"/>
        </w:rPr>
        <w:t>如下</w:t>
      </w:r>
      <w:r>
        <w:rPr>
          <w:rFonts w:ascii="仿宋_GB2312" w:eastAsia="仿宋_GB2312" w:hAnsi="仿宋_GB2312" w:cs="仿宋_GB2312" w:hint="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eastAsia="黑体" w:hAnsi="黑体" w:cs="黑体" w:hint="eastAsia"/>
          <w:sz w:val="32"/>
          <w:szCs w:val="32"/>
        </w:rPr>
      </w:pPr>
      <w:r>
        <w:rPr>
          <w:rFonts w:ascii="黑体" w:eastAsia="黑体" w:hAnsi="黑体" w:cs="黑体" w:hint="eastAsia"/>
          <w:sz w:val="32"/>
          <w:szCs w:val="32"/>
        </w:rPr>
        <w:t>一、党政主要负责人履行推进法治建设第一责任人职责情况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val="0"/>
          <w:bCs w:val="0"/>
          <w:sz w:val="32"/>
          <w:szCs w:val="32"/>
        </w:rPr>
        <w:t>坚持推进法治建设“一把手”负责制和领导班子成员“一岗双责”</w:t>
      </w:r>
      <w:r>
        <w:rPr>
          <w:rFonts w:ascii="仿宋_GB2312" w:eastAsia="仿宋_GB2312" w:hAnsi="仿宋_GB2312" w:cs="仿宋_GB2312" w:hint="eastAsia"/>
          <w:b w:val="0"/>
          <w:bCs w:val="0"/>
          <w:sz w:val="32"/>
          <w:szCs w:val="32"/>
          <w:lang w:eastAsia="zh-CN"/>
        </w:rPr>
        <w:t>，</w:t>
      </w:r>
      <w:r>
        <w:rPr>
          <w:rFonts w:ascii="仿宋_GB2312" w:eastAsia="仿宋_GB2312" w:hAnsi="仿宋_GB2312" w:cs="仿宋_GB2312" w:hint="eastAsia"/>
          <w:b w:val="0"/>
          <w:bCs w:val="0"/>
          <w:sz w:val="32"/>
          <w:szCs w:val="32"/>
        </w:rPr>
        <w:t>成立以书记、局长为组长</w:t>
      </w:r>
      <w:r>
        <w:rPr>
          <w:rFonts w:ascii="仿宋_GB2312" w:eastAsia="仿宋_GB2312" w:hAnsi="仿宋_GB2312" w:cs="仿宋_GB2312" w:hint="eastAsia"/>
          <w:b w:val="0"/>
          <w:bCs w:val="0"/>
          <w:sz w:val="32"/>
          <w:szCs w:val="32"/>
          <w:lang w:eastAsia="zh-CN"/>
        </w:rPr>
        <w:t>、</w:t>
      </w:r>
      <w:r>
        <w:rPr>
          <w:rFonts w:ascii="仿宋_GB2312" w:eastAsia="仿宋_GB2312" w:hAnsi="仿宋_GB2312" w:cs="仿宋_GB2312" w:hint="eastAsia"/>
          <w:b w:val="0"/>
          <w:bCs w:val="0"/>
          <w:sz w:val="32"/>
          <w:szCs w:val="32"/>
          <w:lang w:val="en-US" w:eastAsia="zh-CN"/>
        </w:rPr>
        <w:t>班子成员为副组长、相关科室负责人为成员的</w:t>
      </w:r>
      <w:r>
        <w:rPr>
          <w:rFonts w:ascii="仿宋_GB2312" w:eastAsia="仿宋_GB2312" w:hAnsi="仿宋_GB2312" w:cs="仿宋_GB2312" w:hint="eastAsia"/>
          <w:b w:val="0"/>
          <w:bCs w:val="0"/>
          <w:sz w:val="32"/>
          <w:szCs w:val="32"/>
        </w:rPr>
        <w:t>领导小组，切实履行法治建设第一责任人职责，</w:t>
      </w:r>
      <w:r>
        <w:rPr>
          <w:rFonts w:ascii="仿宋_GB2312" w:eastAsia="仿宋_GB2312" w:hAnsi="仿宋_GB2312" w:cs="仿宋_GB2312" w:hint="eastAsia"/>
          <w:sz w:val="32"/>
          <w:szCs w:val="32"/>
        </w:rPr>
        <w:t>强化工作落实。把法治工作纳入年度目标考核</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 xml:space="preserve"> 形成了主要领导亲自抓、分管领导具体抓、一级抓一级、层层抓落实的工作格局。</w:t>
      </w:r>
      <w:r>
        <w:rPr>
          <w:rFonts w:ascii="仿宋_GB2312" w:eastAsia="仿宋_GB2312" w:hAnsi="仿宋_GB2312" w:cs="仿宋_GB2312" w:hint="eastAsia"/>
          <w:sz w:val="32"/>
          <w:szCs w:val="32"/>
          <w:lang w:val="en-US" w:eastAsia="zh-CN"/>
        </w:rPr>
        <w:t>党组班子</w:t>
      </w:r>
      <w:r>
        <w:rPr>
          <w:rFonts w:ascii="仿宋_GB2312" w:eastAsia="仿宋_GB2312" w:hAnsi="仿宋_GB2312" w:cs="仿宋_GB2312" w:hint="eastAsia"/>
          <w:sz w:val="32"/>
          <w:szCs w:val="32"/>
        </w:rPr>
        <w:t>带头深入学习习近平总书记关于法治建设的重要指示精神，引导</w:t>
      </w:r>
      <w:r>
        <w:rPr>
          <w:rFonts w:ascii="仿宋_GB2312" w:eastAsia="仿宋_GB2312" w:hAnsi="仿宋_GB2312" w:cs="仿宋_GB2312" w:hint="eastAsia"/>
          <w:sz w:val="32"/>
          <w:szCs w:val="32"/>
          <w:lang w:val="en-US" w:eastAsia="zh-CN"/>
        </w:rPr>
        <w:t>全体</w:t>
      </w:r>
      <w:r>
        <w:rPr>
          <w:rFonts w:ascii="仿宋_GB2312" w:eastAsia="仿宋_GB2312" w:hAnsi="仿宋_GB2312" w:cs="仿宋_GB2312" w:hint="eastAsia"/>
          <w:sz w:val="32"/>
          <w:szCs w:val="32"/>
        </w:rPr>
        <w:t>党员干部深刻领会精神实质，准确把握政策内容，运用法治思维和法治方式优化营商环境、规范市场监管执法行为，对法治建设重要工作亲自部署、重大问题亲自过问、重点环节亲自协调、重要任务亲自督办，</w:t>
      </w:r>
      <w:r>
        <w:rPr>
          <w:rFonts w:ascii="仿宋_GB2312" w:eastAsia="仿宋_GB2312" w:hAnsi="仿宋_GB2312" w:cs="仿宋_GB2312" w:hint="eastAsia"/>
          <w:sz w:val="32"/>
          <w:szCs w:val="32"/>
          <w:lang w:val="en-US" w:eastAsia="zh-CN"/>
        </w:rPr>
        <w:t>圆满</w:t>
      </w:r>
      <w:r>
        <w:rPr>
          <w:rFonts w:ascii="仿宋_GB2312" w:eastAsia="仿宋_GB2312" w:hAnsi="仿宋_GB2312" w:cs="仿宋_GB2312" w:hint="eastAsia"/>
          <w:sz w:val="32"/>
          <w:szCs w:val="32"/>
        </w:rPr>
        <w:t>完成全年法治建设各项工作任务。</w:t>
      </w:r>
      <w:r>
        <w:rPr>
          <w:rFonts w:ascii="仿宋_GB2312" w:eastAsia="仿宋_GB2312" w:hAnsi="仿宋_GB2312" w:cs="仿宋_GB2312" w:hint="eastAsia"/>
          <w:b w:val="0"/>
          <w:bCs w:val="0"/>
          <w:sz w:val="32"/>
          <w:szCs w:val="32"/>
        </w:rPr>
        <w:t>3月</w:t>
      </w:r>
      <w:r>
        <w:rPr>
          <w:rFonts w:ascii="仿宋_GB2312" w:eastAsia="仿宋_GB2312" w:hAnsi="仿宋_GB2312" w:cs="仿宋_GB2312" w:hint="eastAsia"/>
          <w:b w:val="0"/>
          <w:bCs w:val="0"/>
          <w:sz w:val="32"/>
          <w:szCs w:val="32"/>
          <w:lang w:val="en-US" w:eastAsia="zh-CN"/>
        </w:rPr>
        <w:t>召开</w:t>
      </w:r>
      <w:r>
        <w:rPr>
          <w:rFonts w:ascii="仿宋_GB2312" w:eastAsia="仿宋_GB2312" w:hAnsi="仿宋_GB2312" w:cs="仿宋_GB2312" w:hint="eastAsia"/>
          <w:b w:val="0"/>
          <w:bCs w:val="0"/>
          <w:sz w:val="32"/>
          <w:szCs w:val="32"/>
        </w:rPr>
        <w:t>法治建设和普法</w:t>
      </w:r>
      <w:r>
        <w:rPr>
          <w:rFonts w:ascii="仿宋_GB2312" w:eastAsia="仿宋_GB2312" w:hAnsi="仿宋_GB2312" w:cs="仿宋_GB2312" w:hint="eastAsia"/>
          <w:b w:val="0"/>
          <w:bCs w:val="0"/>
          <w:sz w:val="32"/>
          <w:szCs w:val="32"/>
          <w:lang w:val="en-US" w:eastAsia="zh-CN"/>
        </w:rPr>
        <w:t>专题部署</w:t>
      </w:r>
      <w:r>
        <w:rPr>
          <w:rFonts w:ascii="仿宋_GB2312" w:eastAsia="仿宋_GB2312" w:hAnsi="仿宋_GB2312" w:cs="仿宋_GB2312" w:hint="eastAsia"/>
          <w:b w:val="0"/>
          <w:bCs w:val="0"/>
          <w:sz w:val="32"/>
          <w:szCs w:val="32"/>
        </w:rPr>
        <w:t>工作。</w:t>
      </w:r>
      <w:r>
        <w:rPr>
          <w:rFonts w:ascii="仿宋_GB2312" w:eastAsia="仿宋_GB2312" w:hAnsi="仿宋_GB2312" w:cs="仿宋_GB2312" w:hint="eastAsia"/>
          <w:b w:val="0"/>
          <w:bCs w:val="0"/>
          <w:sz w:val="32"/>
          <w:szCs w:val="32"/>
          <w:lang w:val="en-US" w:eastAsia="zh-CN"/>
        </w:rPr>
        <w:t>党组书记</w:t>
      </w:r>
      <w:r>
        <w:rPr>
          <w:rFonts w:ascii="仿宋_GB2312" w:eastAsia="仿宋_GB2312" w:hAnsi="仿宋_GB2312" w:cs="仿宋_GB2312" w:hint="eastAsia"/>
          <w:b w:val="0"/>
          <w:bCs w:val="0"/>
          <w:sz w:val="32"/>
          <w:szCs w:val="32"/>
        </w:rPr>
        <w:t>带头讲法治课2次，</w:t>
      </w:r>
      <w:r>
        <w:rPr>
          <w:rFonts w:ascii="仿宋_GB2312" w:eastAsia="仿宋_GB2312" w:hAnsi="仿宋_GB2312" w:cs="仿宋_GB2312" w:hint="eastAsia"/>
          <w:b w:val="0"/>
          <w:bCs w:val="0"/>
          <w:sz w:val="32"/>
          <w:szCs w:val="32"/>
          <w:lang w:val="en-US" w:eastAsia="zh-CN"/>
        </w:rPr>
        <w:t>召开专题</w:t>
      </w:r>
      <w:r>
        <w:rPr>
          <w:rFonts w:ascii="仿宋_GB2312" w:eastAsia="仿宋_GB2312" w:hAnsi="仿宋_GB2312" w:cs="仿宋_GB2312" w:hint="eastAsia"/>
          <w:b w:val="0"/>
          <w:bCs w:val="0"/>
          <w:sz w:val="32"/>
          <w:szCs w:val="32"/>
        </w:rPr>
        <w:t>工作汇报</w:t>
      </w:r>
      <w:r>
        <w:rPr>
          <w:rFonts w:ascii="仿宋_GB2312" w:eastAsia="仿宋_GB2312" w:hAnsi="仿宋_GB2312" w:cs="仿宋_GB2312" w:hint="eastAsia"/>
          <w:b w:val="0"/>
          <w:bCs w:val="0"/>
          <w:sz w:val="32"/>
          <w:szCs w:val="32"/>
          <w:lang w:val="en-US" w:eastAsia="zh-CN"/>
        </w:rPr>
        <w:t>会</w:t>
      </w:r>
      <w:r>
        <w:rPr>
          <w:rFonts w:ascii="仿宋_GB2312" w:eastAsia="仿宋_GB2312" w:hAnsi="仿宋_GB2312" w:cs="仿宋_GB2312" w:hint="eastAsia"/>
          <w:b w:val="0"/>
          <w:bCs w:val="0"/>
          <w:sz w:val="32"/>
          <w:szCs w:val="32"/>
        </w:rPr>
        <w:t>2次，及时研究解决有关重大问题。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黑体" w:eastAsia="黑体" w:hAnsi="黑体" w:cs="黑体" w:hint="eastAsia"/>
          <w:sz w:val="32"/>
          <w:szCs w:val="32"/>
        </w:rPr>
        <w:t>二、推进法治政府建设情况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（一）全面强化政治引领。</w:t>
      </w:r>
      <w:r>
        <w:rPr>
          <w:rFonts w:ascii="仿宋_GB2312" w:eastAsia="仿宋_GB2312" w:hAnsi="仿宋_GB2312" w:cs="仿宋_GB2312" w:hint="eastAsia"/>
          <w:sz w:val="32"/>
          <w:szCs w:val="32"/>
        </w:rPr>
        <w:t>一是局党组切实将依法</w:t>
      </w:r>
      <w:r>
        <w:rPr>
          <w:rFonts w:ascii="仿宋_GB2312" w:eastAsia="仿宋_GB2312" w:hAnsi="仿宋_GB2312" w:cs="仿宋_GB2312" w:hint="eastAsia"/>
          <w:sz w:val="32"/>
          <w:szCs w:val="32"/>
          <w:lang w:val="en-US" w:eastAsia="zh-CN"/>
        </w:rPr>
        <w:t>行政工作</w:t>
      </w:r>
      <w:r>
        <w:rPr>
          <w:rFonts w:ascii="仿宋_GB2312" w:eastAsia="仿宋_GB2312" w:hAnsi="仿宋_GB2312" w:cs="仿宋_GB2312" w:hint="eastAsia"/>
          <w:sz w:val="32"/>
          <w:szCs w:val="32"/>
        </w:rPr>
        <w:t>要求贯穿于</w:t>
      </w:r>
      <w:r>
        <w:rPr>
          <w:rFonts w:ascii="仿宋_GB2312" w:eastAsia="仿宋_GB2312" w:hAnsi="仿宋_GB2312" w:cs="仿宋_GB2312" w:hint="eastAsia"/>
          <w:sz w:val="32"/>
          <w:szCs w:val="32"/>
          <w:lang w:val="en-US" w:eastAsia="zh-CN"/>
        </w:rPr>
        <w:t>全年</w:t>
      </w:r>
      <w:r>
        <w:rPr>
          <w:rFonts w:ascii="仿宋_GB2312" w:eastAsia="仿宋_GB2312" w:hAnsi="仿宋_GB2312" w:cs="仿宋_GB2312" w:hint="eastAsia"/>
          <w:sz w:val="32"/>
          <w:szCs w:val="32"/>
        </w:rPr>
        <w:t>各项工作，深入学习贯彻党的二十大精神和习近平法治思想，及时组织传达学习上级关于依法治</w:t>
      </w:r>
      <w:r>
        <w:rPr>
          <w:rFonts w:ascii="仿宋_GB2312" w:eastAsia="仿宋_GB2312" w:hAnsi="仿宋_GB2312" w:cs="仿宋_GB2312" w:hint="eastAsia"/>
          <w:sz w:val="32"/>
          <w:szCs w:val="32"/>
          <w:lang w:val="en-US" w:eastAsia="zh-CN"/>
        </w:rPr>
        <w:t>市</w:t>
      </w:r>
      <w:r>
        <w:rPr>
          <w:rFonts w:ascii="仿宋_GB2312" w:eastAsia="仿宋_GB2312" w:hAnsi="仿宋_GB2312" w:cs="仿宋_GB2312" w:hint="eastAsia"/>
          <w:sz w:val="32"/>
          <w:szCs w:val="32"/>
        </w:rPr>
        <w:t>重要会议精神，</w:t>
      </w:r>
      <w:r>
        <w:rPr>
          <w:rFonts w:ascii="仿宋_GB2312" w:eastAsia="仿宋_GB2312" w:hAnsi="仿宋_GB2312" w:cs="仿宋_GB2312" w:hint="eastAsia"/>
          <w:sz w:val="32"/>
          <w:szCs w:val="32"/>
          <w:lang w:val="en-US" w:eastAsia="zh-CN"/>
        </w:rPr>
        <w:t>认真</w:t>
      </w:r>
      <w:r>
        <w:rPr>
          <w:rFonts w:ascii="仿宋_GB2312" w:eastAsia="仿宋_GB2312" w:hAnsi="仿宋_GB2312" w:cs="仿宋_GB2312" w:hint="eastAsia"/>
          <w:sz w:val="32"/>
          <w:szCs w:val="32"/>
        </w:rPr>
        <w:t>研究部署</w:t>
      </w:r>
      <w:r>
        <w:rPr>
          <w:rFonts w:ascii="仿宋_GB2312" w:eastAsia="仿宋_GB2312" w:hAnsi="仿宋_GB2312" w:cs="仿宋_GB2312" w:hint="eastAsia"/>
          <w:sz w:val="32"/>
          <w:szCs w:val="32"/>
          <w:lang w:val="en-US" w:eastAsia="zh-CN"/>
        </w:rPr>
        <w:t>法治建设</w:t>
      </w:r>
      <w:r>
        <w:rPr>
          <w:rFonts w:ascii="仿宋_GB2312" w:eastAsia="仿宋_GB2312" w:hAnsi="仿宋_GB2312" w:cs="仿宋_GB2312" w:hint="eastAsia"/>
          <w:sz w:val="32"/>
          <w:szCs w:val="32"/>
        </w:rPr>
        <w:t>重大问题，协调解决工作中的重点、难点问题。二是强化理论学习，发挥党组推进法治建设领导核心作用，落实局党组会会前学法制度，自觉做到学法守法用法，</w:t>
      </w:r>
      <w:r>
        <w:rPr>
          <w:rFonts w:ascii="仿宋_GB2312" w:eastAsia="仿宋_GB2312" w:hAnsi="仿宋_GB2312" w:cs="仿宋_GB2312" w:hint="eastAsia"/>
          <w:sz w:val="32"/>
          <w:szCs w:val="32"/>
          <w:lang w:val="en-US" w:eastAsia="zh-CN"/>
        </w:rPr>
        <w:t>切实发挥</w:t>
      </w:r>
      <w:r>
        <w:rPr>
          <w:rFonts w:ascii="仿宋_GB2312" w:eastAsia="仿宋_GB2312" w:hAnsi="仿宋_GB2312" w:cs="仿宋_GB2312" w:hint="eastAsia"/>
          <w:sz w:val="32"/>
          <w:szCs w:val="32"/>
        </w:rPr>
        <w:t>“关键少数”模范带动作用。三是</w:t>
      </w:r>
      <w:r>
        <w:rPr>
          <w:rFonts w:ascii="仿宋_GB2312" w:eastAsia="仿宋_GB2312" w:hAnsi="仿宋_GB2312" w:cs="仿宋_GB2312" w:hint="eastAsia"/>
          <w:sz w:val="32"/>
          <w:szCs w:val="32"/>
          <w:lang w:val="en-US" w:eastAsia="zh-CN"/>
        </w:rPr>
        <w:t>认真落实全</w:t>
      </w:r>
      <w:r>
        <w:rPr>
          <w:rFonts w:ascii="仿宋_GB2312" w:eastAsia="仿宋_GB2312" w:hAnsi="仿宋_GB2312" w:cs="仿宋_GB2312" w:hint="eastAsia"/>
          <w:sz w:val="32"/>
          <w:szCs w:val="32"/>
        </w:rPr>
        <w:t>员学法用法</w:t>
      </w:r>
      <w:r>
        <w:rPr>
          <w:rFonts w:ascii="仿宋_GB2312" w:eastAsia="仿宋_GB2312" w:hAnsi="仿宋_GB2312" w:cs="仿宋_GB2312" w:hint="eastAsia"/>
          <w:sz w:val="32"/>
          <w:szCs w:val="32"/>
          <w:lang w:val="en-US" w:eastAsia="zh-CN"/>
        </w:rPr>
        <w:t>机制</w:t>
      </w:r>
      <w:r>
        <w:rPr>
          <w:rFonts w:ascii="仿宋_GB2312" w:eastAsia="仿宋_GB2312" w:hAnsi="仿宋_GB2312" w:cs="仿宋_GB2312" w:hint="eastAsia"/>
          <w:sz w:val="32"/>
          <w:szCs w:val="32"/>
        </w:rPr>
        <w:t>，制定</w:t>
      </w:r>
      <w:r>
        <w:rPr>
          <w:rFonts w:ascii="仿宋_GB2312" w:eastAsia="仿宋_GB2312" w:hAnsi="仿宋_GB2312" w:cs="仿宋_GB2312" w:hint="eastAsia"/>
          <w:sz w:val="32"/>
          <w:szCs w:val="32"/>
          <w:lang w:val="en-US" w:eastAsia="zh-CN"/>
        </w:rPr>
        <w:t>年度</w:t>
      </w:r>
      <w:r>
        <w:rPr>
          <w:rFonts w:ascii="仿宋_GB2312" w:eastAsia="仿宋_GB2312" w:hAnsi="仿宋_GB2312" w:cs="仿宋_GB2312" w:hint="eastAsia"/>
          <w:sz w:val="32"/>
          <w:szCs w:val="32"/>
        </w:rPr>
        <w:t>法治宣传教育</w:t>
      </w:r>
      <w:r>
        <w:rPr>
          <w:rFonts w:ascii="仿宋_GB2312" w:eastAsia="仿宋_GB2312" w:hAnsi="仿宋_GB2312" w:cs="仿宋_GB2312" w:hint="eastAsia"/>
          <w:sz w:val="32"/>
          <w:szCs w:val="32"/>
          <w:lang w:val="en-US" w:eastAsia="zh-CN"/>
        </w:rPr>
        <w:t>和</w:t>
      </w:r>
      <w:r>
        <w:rPr>
          <w:rFonts w:ascii="仿宋_GB2312" w:eastAsia="仿宋_GB2312" w:hAnsi="仿宋_GB2312" w:cs="仿宋_GB2312" w:hint="eastAsia"/>
          <w:sz w:val="32"/>
          <w:szCs w:val="32"/>
        </w:rPr>
        <w:t>干部学法</w:t>
      </w:r>
      <w:r>
        <w:rPr>
          <w:rFonts w:ascii="仿宋_GB2312" w:eastAsia="仿宋_GB2312" w:hAnsi="仿宋_GB2312" w:cs="仿宋_GB2312" w:hint="eastAsia"/>
          <w:sz w:val="32"/>
          <w:szCs w:val="32"/>
          <w:lang w:val="en-US" w:eastAsia="zh-CN"/>
        </w:rPr>
        <w:t>工作</w:t>
      </w:r>
      <w:r>
        <w:rPr>
          <w:rFonts w:ascii="仿宋_GB2312" w:eastAsia="仿宋_GB2312" w:hAnsi="仿宋_GB2312" w:cs="仿宋_GB2312" w:hint="eastAsia"/>
          <w:sz w:val="32"/>
          <w:szCs w:val="32"/>
        </w:rPr>
        <w:t>计划，通过法治讲座、法律知识培训等形式</w:t>
      </w:r>
      <w:r>
        <w:rPr>
          <w:rFonts w:ascii="仿宋_GB2312" w:eastAsia="仿宋_GB2312" w:hAnsi="仿宋_GB2312" w:cs="仿宋_GB2312" w:hint="eastAsia"/>
          <w:sz w:val="32"/>
          <w:szCs w:val="32"/>
          <w:lang w:val="en-US" w:eastAsia="zh-CN"/>
        </w:rPr>
        <w:t>定期对</w:t>
      </w:r>
      <w:r>
        <w:rPr>
          <w:rFonts w:ascii="仿宋_GB2312" w:eastAsia="仿宋_GB2312" w:hAnsi="仿宋_GB2312" w:cs="仿宋_GB2312" w:hint="eastAsia"/>
          <w:sz w:val="32"/>
          <w:szCs w:val="32"/>
        </w:rPr>
        <w:t>全局</w:t>
      </w:r>
      <w:r>
        <w:rPr>
          <w:rFonts w:ascii="仿宋_GB2312" w:eastAsia="仿宋_GB2312" w:hAnsi="仿宋_GB2312" w:cs="仿宋_GB2312" w:hint="eastAsia"/>
          <w:sz w:val="32"/>
          <w:szCs w:val="32"/>
          <w:lang w:val="en-US" w:eastAsia="zh-CN"/>
        </w:rPr>
        <w:t>干部开展</w:t>
      </w:r>
      <w:r>
        <w:rPr>
          <w:rFonts w:ascii="仿宋_GB2312" w:eastAsia="仿宋_GB2312" w:hAnsi="仿宋_GB2312" w:cs="仿宋_GB2312" w:hint="eastAsia"/>
          <w:sz w:val="32"/>
          <w:szCs w:val="32"/>
        </w:rPr>
        <w:t>法律法规、业务知识集中培训</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适时组织全局法律知识考试和知识竞赛等活动，提高全</w:t>
      </w:r>
      <w:r>
        <w:rPr>
          <w:rFonts w:ascii="仿宋_GB2312" w:eastAsia="仿宋_GB2312" w:hAnsi="仿宋_GB2312" w:cs="仿宋_GB2312" w:hint="eastAsia"/>
          <w:sz w:val="32"/>
          <w:szCs w:val="32"/>
          <w:lang w:val="en-US" w:eastAsia="zh-CN"/>
        </w:rPr>
        <w:t>局</w:t>
      </w:r>
      <w:r>
        <w:rPr>
          <w:rFonts w:ascii="仿宋_GB2312" w:eastAsia="仿宋_GB2312" w:hAnsi="仿宋_GB2312" w:cs="仿宋_GB2312" w:hint="eastAsia"/>
          <w:sz w:val="32"/>
          <w:szCs w:val="32"/>
        </w:rPr>
        <w:t>干部法治意识和执法监管水平。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楷体_GB2312" w:eastAsia="楷体_GB2312" w:hAnsi="楷体_GB2312" w:cs="楷体_GB2312" w:hint="eastAsia"/>
          <w:b/>
          <w:bCs/>
          <w:sz w:val="32"/>
          <w:szCs w:val="32"/>
        </w:rPr>
        <w:t>（二）依法履职</w:t>
      </w:r>
      <w:r>
        <w:rPr>
          <w:rFonts w:ascii="楷体_GB2312" w:eastAsia="楷体_GB2312" w:hAnsi="楷体_GB2312" w:cs="楷体_GB2312" w:hint="eastAsia"/>
          <w:b/>
          <w:bCs/>
          <w:sz w:val="32"/>
          <w:szCs w:val="32"/>
          <w:lang w:val="en-US" w:eastAsia="zh-CN"/>
        </w:rPr>
        <w:t>强化</w:t>
      </w:r>
      <w:r>
        <w:rPr>
          <w:rFonts w:ascii="楷体_GB2312" w:eastAsia="楷体_GB2312" w:hAnsi="楷体_GB2312" w:cs="楷体_GB2312" w:hint="eastAsia"/>
          <w:b/>
          <w:bCs/>
          <w:sz w:val="32"/>
          <w:szCs w:val="32"/>
        </w:rPr>
        <w:t>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lang w:eastAsia="zh-CN"/>
        </w:rPr>
        <w:t>、</w:t>
      </w:r>
      <w:r>
        <w:rPr>
          <w:rFonts w:ascii="仿宋_GB2312" w:eastAsia="仿宋_GB2312" w:hAnsi="仿宋_GB2312" w:cs="仿宋_GB2312" w:hint="eastAsia"/>
          <w:b/>
          <w:bCs/>
          <w:sz w:val="32"/>
          <w:szCs w:val="32"/>
        </w:rPr>
        <w:t>严格落实三项制度，规范</w:t>
      </w:r>
      <w:r>
        <w:rPr>
          <w:rFonts w:ascii="仿宋_GB2312" w:eastAsia="仿宋_GB2312" w:hAnsi="仿宋_GB2312" w:cs="仿宋_GB2312" w:hint="eastAsia"/>
          <w:b/>
          <w:bCs/>
          <w:sz w:val="32"/>
          <w:szCs w:val="32"/>
          <w:lang w:val="en-US" w:eastAsia="zh-CN"/>
        </w:rPr>
        <w:t>行政</w:t>
      </w:r>
      <w:r>
        <w:rPr>
          <w:rFonts w:ascii="仿宋_GB2312" w:eastAsia="仿宋_GB2312" w:hAnsi="仿宋_GB2312" w:cs="仿宋_GB2312" w:hint="eastAsia"/>
          <w:b/>
          <w:bCs/>
          <w:sz w:val="32"/>
          <w:szCs w:val="32"/>
        </w:rPr>
        <w:t>执法行为。</w:t>
      </w:r>
      <w:r>
        <w:rPr>
          <w:rFonts w:ascii="仿宋_GB2312" w:eastAsia="仿宋_GB2312" w:hAnsi="仿宋_GB2312" w:cs="仿宋_GB2312" w:hint="eastAsia"/>
          <w:sz w:val="32"/>
          <w:szCs w:val="32"/>
        </w:rPr>
        <w:t>全面梳理认领行政权力事项406项。</w:t>
      </w:r>
      <w:r>
        <w:rPr>
          <w:rFonts w:ascii="仿宋_GB2312" w:eastAsia="仿宋_GB2312" w:hAnsi="仿宋_GB2312" w:cs="仿宋_GB2312" w:hint="eastAsia"/>
          <w:sz w:val="32"/>
          <w:szCs w:val="32"/>
          <w:lang w:val="en-US" w:eastAsia="zh-CN"/>
        </w:rPr>
        <w:t>持续强化</w:t>
      </w:r>
      <w:r>
        <w:rPr>
          <w:rFonts w:ascii="仿宋_GB2312" w:eastAsia="仿宋_GB2312" w:hAnsi="仿宋_GB2312" w:cs="仿宋_GB2312" w:hint="eastAsia"/>
          <w:sz w:val="32"/>
          <w:szCs w:val="32"/>
        </w:rPr>
        <w:t>行政执法监督，</w:t>
      </w:r>
      <w:r>
        <w:rPr>
          <w:rFonts w:ascii="仿宋_GB2312" w:eastAsia="仿宋_GB2312" w:hAnsi="仿宋_GB2312" w:cs="仿宋_GB2312" w:hint="eastAsia"/>
          <w:sz w:val="32"/>
          <w:szCs w:val="32"/>
          <w:lang w:val="en-US" w:eastAsia="zh-CN"/>
        </w:rPr>
        <w:t>全年组织</w:t>
      </w:r>
      <w:r>
        <w:rPr>
          <w:rFonts w:ascii="仿宋_GB2312" w:eastAsia="仿宋_GB2312" w:hAnsi="仿宋_GB2312" w:cs="仿宋_GB2312" w:hint="eastAsia"/>
          <w:sz w:val="32"/>
          <w:szCs w:val="32"/>
        </w:rPr>
        <w:t>开展行政执法案卷评查、案件回访</w:t>
      </w:r>
      <w:r>
        <w:rPr>
          <w:rFonts w:ascii="仿宋_GB2312" w:eastAsia="仿宋_GB2312" w:hAnsi="仿宋_GB2312" w:cs="仿宋_GB2312" w:hint="eastAsia"/>
          <w:sz w:val="32"/>
          <w:szCs w:val="32"/>
          <w:lang w:val="en-US" w:eastAsia="zh-CN"/>
        </w:rPr>
        <w:t>2次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en-US" w:eastAsia="zh-CN"/>
        </w:rPr>
        <w:t>切实</w:t>
      </w:r>
      <w:r>
        <w:rPr>
          <w:rFonts w:ascii="仿宋_GB2312" w:eastAsia="仿宋_GB2312" w:hAnsi="仿宋_GB2312" w:cs="仿宋_GB2312" w:hint="eastAsia"/>
          <w:sz w:val="32"/>
          <w:szCs w:val="32"/>
        </w:rPr>
        <w:t>保障行政执法决定公正、公平。精细化落实</w:t>
      </w:r>
      <w:r>
        <w:rPr>
          <w:rFonts w:ascii="仿宋_GB2312" w:eastAsia="仿宋_GB2312" w:hAnsi="仿宋_GB2312" w:cs="仿宋_GB2312" w:hint="eastAsia"/>
          <w:sz w:val="32"/>
          <w:szCs w:val="32"/>
          <w:lang w:eastAsia="zh-CN"/>
        </w:rPr>
        <w:t>行政执法“三项制度”</w:t>
      </w:r>
      <w:r>
        <w:rPr>
          <w:rFonts w:ascii="仿宋_GB2312" w:eastAsia="仿宋_GB2312" w:hAnsi="仿宋_GB2312" w:cs="仿宋_GB2312" w:hint="eastAsia"/>
          <w:sz w:val="32"/>
          <w:szCs w:val="32"/>
        </w:rPr>
        <w:t>，实施包容审慎监管，推进柔性说理式执法，柔性处罚占行政处罚案件的74.59%，做到执法不缺位、不越位，不断提升行政执法公信力。一是严格落实执法全过程记录制度，配备执法记录仪29台，按标准新设立调查询问室1间，</w:t>
      </w:r>
      <w:r>
        <w:rPr>
          <w:rFonts w:ascii="仿宋_GB2312" w:eastAsia="仿宋_GB2312" w:hAnsi="仿宋_GB2312" w:cs="仿宋_GB2312" w:hint="eastAsia"/>
          <w:sz w:val="32"/>
          <w:szCs w:val="32"/>
          <w:lang w:val="en-US" w:eastAsia="zh-CN"/>
        </w:rPr>
        <w:t>修订</w:t>
      </w:r>
      <w:r>
        <w:rPr>
          <w:rFonts w:ascii="仿宋_GB2312" w:eastAsia="仿宋_GB2312" w:hAnsi="仿宋_GB2312" w:cs="仿宋_GB2312" w:hint="eastAsia"/>
          <w:sz w:val="32"/>
          <w:szCs w:val="32"/>
        </w:rPr>
        <w:t>了管理制度和流程。二是加强执法案件审核工作，采取案审会议的形式进行集体讨论，通过案件审核严把案件的程序、证据、定性、量罚关，提升案件办理质量。2024年召开案审会61次，审核行政执法案件374件。三是认真落实行政执法公示制度，不断完善对行政处罚工作各环节的公示要求，做到执法不缺位、不越位，不断提升行政执法公信力。2024年公示行政执法案件374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lang w:val="en-US" w:eastAsia="zh-CN"/>
        </w:rPr>
        <w:t>2、</w:t>
      </w:r>
      <w:r>
        <w:rPr>
          <w:rFonts w:ascii="仿宋_GB2312" w:eastAsia="仿宋_GB2312" w:hAnsi="仿宋_GB2312" w:cs="仿宋_GB2312" w:hint="eastAsia"/>
          <w:b/>
          <w:bCs/>
          <w:sz w:val="32"/>
          <w:szCs w:val="32"/>
        </w:rPr>
        <w:t>坚持统一裁量基准，推动执法尺度统一</w:t>
      </w:r>
      <w:r>
        <w:rPr>
          <w:rFonts w:ascii="仿宋_GB2312" w:eastAsia="仿宋_GB2312" w:hAnsi="仿宋_GB2312" w:cs="仿宋_GB2312" w:hint="eastAsia"/>
          <w:b/>
          <w:bCs/>
          <w:sz w:val="32"/>
          <w:szCs w:val="32"/>
          <w:lang w:eastAsia="zh-CN"/>
        </w:rPr>
        <w:t>。</w:t>
      </w:r>
      <w:r>
        <w:rPr>
          <w:rFonts w:ascii="仿宋_GB2312" w:eastAsia="仿宋_GB2312" w:hAnsi="仿宋_GB2312" w:cs="仿宋_GB2312" w:hint="eastAsia"/>
          <w:sz w:val="32"/>
          <w:szCs w:val="32"/>
        </w:rPr>
        <w:t>严格执行《新疆维吾尔自治区 新疆生产建设兵团市场监督管理行政处罚裁量基准（2024年）</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新疆维吾尔自治区 新疆生产建设兵团药品监督管理行政处罚裁量基准</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新疆维吾尔自治区 新疆生产建设兵团医疗器械监督管理行政处罚裁量基准</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新疆维吾尔自治区新疆生产建设兵团化妆品监督管理行政处罚裁量基准》，遵循合法、合理、必要、恰当原则，坚决杜绝处罚的随意性和“一刀切”。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lang w:val="en-US" w:eastAsia="zh-CN"/>
        </w:rPr>
        <w:t>3、</w:t>
      </w:r>
      <w:r>
        <w:rPr>
          <w:rFonts w:ascii="仿宋_GB2312" w:eastAsia="仿宋_GB2312" w:hAnsi="仿宋_GB2312" w:cs="仿宋_GB2312" w:hint="eastAsia"/>
          <w:b/>
          <w:bCs/>
          <w:sz w:val="32"/>
          <w:szCs w:val="32"/>
        </w:rPr>
        <w:t>厘清清单</w:t>
      </w:r>
      <w:r>
        <w:rPr>
          <w:rFonts w:ascii="仿宋_GB2312" w:eastAsia="仿宋_GB2312" w:hAnsi="仿宋_GB2312" w:cs="仿宋_GB2312" w:hint="eastAsia"/>
          <w:b/>
          <w:bCs/>
          <w:sz w:val="32"/>
          <w:szCs w:val="32"/>
          <w:lang w:val="en-US" w:eastAsia="zh-CN"/>
        </w:rPr>
        <w:t>适用</w:t>
      </w:r>
      <w:r>
        <w:rPr>
          <w:rFonts w:ascii="仿宋_GB2312" w:eastAsia="仿宋_GB2312" w:hAnsi="仿宋_GB2312" w:cs="仿宋_GB2312" w:hint="eastAsia"/>
          <w:b/>
          <w:bCs/>
          <w:sz w:val="32"/>
          <w:szCs w:val="32"/>
        </w:rPr>
        <w:t>标准，</w:t>
      </w:r>
      <w:r>
        <w:rPr>
          <w:rFonts w:ascii="仿宋_GB2312" w:eastAsia="仿宋_GB2312" w:hAnsi="仿宋_GB2312" w:cs="仿宋_GB2312" w:hint="eastAsia"/>
          <w:b/>
          <w:bCs/>
          <w:sz w:val="32"/>
          <w:szCs w:val="32"/>
          <w:lang w:val="en-US" w:eastAsia="zh-CN"/>
        </w:rPr>
        <w:t>推行柔性执法理念。</w:t>
      </w:r>
      <w:r>
        <w:rPr>
          <w:rFonts w:ascii="仿宋_GB2312" w:eastAsia="仿宋_GB2312" w:hAnsi="仿宋_GB2312" w:cs="仿宋_GB2312" w:hint="eastAsia"/>
          <w:sz w:val="32"/>
          <w:szCs w:val="32"/>
        </w:rPr>
        <w:t>认真贯彻落实自治区市场监管领域“首违不罚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不予处罚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从轻处罚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减轻处罚</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免予行政强制措施”清单和塔城地区市场监管领域“两轻一免”清单有关规定，最大限度减少对市场主体正常生产经营活动的干扰，更大程度激发市场主体活力。一是强化清单化管理。对自治区16项“首违不罚”、35项“不予处罚”、61项“从轻处罚”、20项“减轻处罚”、4项“免予行政强制措施”和塔城地区36项“免予处罚”事项，实行清单化管理，认真厘清适用条件标准，为“柔性执法”定好“规则”。二是强化高效</w:t>
      </w:r>
      <w:r>
        <w:rPr>
          <w:rFonts w:ascii="仿宋_GB2312" w:eastAsia="仿宋_GB2312" w:hAnsi="仿宋_GB2312" w:cs="仿宋_GB2312" w:hint="eastAsia"/>
          <w:sz w:val="32"/>
          <w:szCs w:val="32"/>
          <w:lang w:val="en-US" w:eastAsia="zh-CN"/>
        </w:rPr>
        <w:t>化</w:t>
      </w:r>
      <w:r>
        <w:rPr>
          <w:rFonts w:ascii="仿宋_GB2312" w:eastAsia="仿宋_GB2312" w:hAnsi="仿宋_GB2312" w:cs="仿宋_GB2312" w:hint="eastAsia"/>
          <w:sz w:val="32"/>
          <w:szCs w:val="32"/>
        </w:rPr>
        <w:t>服务。加强宣传教育、预警劝导、提醒告诫、服务指引等非强制性手段在执法工作中的运用，引导市场主体自觉守法、自我纠错、提前防范违法风险。三是强化社会化监督。</w:t>
      </w:r>
      <w:r>
        <w:rPr>
          <w:rFonts w:ascii="仿宋_GB2312" w:eastAsia="仿宋_GB2312" w:hAnsi="仿宋_GB2312" w:cs="仿宋_GB2312" w:hint="eastAsia"/>
          <w:sz w:val="32"/>
          <w:szCs w:val="32"/>
          <w:lang w:val="en-US" w:eastAsia="zh-CN"/>
        </w:rPr>
        <w:t>采取多种方式加大宣传，</w:t>
      </w:r>
      <w:r>
        <w:rPr>
          <w:rFonts w:ascii="仿宋_GB2312" w:eastAsia="仿宋_GB2312" w:hAnsi="仿宋_GB2312" w:cs="仿宋_GB2312" w:hint="eastAsia"/>
          <w:sz w:val="32"/>
          <w:szCs w:val="32"/>
        </w:rPr>
        <w:t>进一步</w:t>
      </w:r>
      <w:r>
        <w:rPr>
          <w:rFonts w:ascii="仿宋_GB2312" w:eastAsia="仿宋_GB2312" w:hAnsi="仿宋_GB2312" w:cs="仿宋_GB2312" w:hint="eastAsia"/>
          <w:sz w:val="32"/>
          <w:szCs w:val="32"/>
          <w:lang w:val="en-US" w:eastAsia="zh-CN"/>
        </w:rPr>
        <w:t>提升市场主体对</w:t>
      </w:r>
      <w:r>
        <w:rPr>
          <w:rFonts w:ascii="仿宋_GB2312" w:eastAsia="仿宋_GB2312" w:hAnsi="仿宋_GB2312" w:cs="仿宋_GB2312" w:hint="eastAsia"/>
          <w:sz w:val="32"/>
          <w:szCs w:val="32"/>
        </w:rPr>
        <w:t>清单的知晓率、应用率，引导各市场主体树立“尽责免罚”经营理念，自觉接受广大消费</w:t>
      </w:r>
      <w:r>
        <w:rPr>
          <w:rFonts w:ascii="仿宋_GB2312" w:eastAsia="仿宋_GB2312" w:hAnsi="仿宋_GB2312" w:cs="仿宋_GB2312" w:hint="eastAsia"/>
          <w:sz w:val="32"/>
          <w:szCs w:val="32"/>
          <w:lang w:eastAsia="zh-CN"/>
        </w:rPr>
        <w:t>者和</w:t>
      </w:r>
      <w:r>
        <w:rPr>
          <w:rFonts w:ascii="仿宋_GB2312" w:eastAsia="仿宋_GB2312" w:hAnsi="仿宋_GB2312" w:cs="仿宋_GB2312" w:hint="eastAsia"/>
          <w:sz w:val="32"/>
          <w:szCs w:val="32"/>
        </w:rPr>
        <w:t>社会监督。全年</w:t>
      </w:r>
      <w:r>
        <w:rPr>
          <w:rFonts w:ascii="仿宋_GB2312" w:eastAsia="仿宋_GB2312" w:hAnsi="仿宋_GB2312" w:cs="仿宋_GB2312" w:hint="eastAsia"/>
          <w:sz w:val="32"/>
          <w:szCs w:val="32"/>
          <w:lang w:eastAsia="zh-CN"/>
        </w:rPr>
        <w:t>查办违纪违法案件</w:t>
      </w:r>
      <w:r>
        <w:rPr>
          <w:rFonts w:ascii="仿宋_GB2312" w:eastAsia="仿宋_GB2312" w:hAnsi="仿宋_GB2312" w:cs="仿宋_GB2312" w:hint="eastAsia"/>
          <w:sz w:val="32"/>
          <w:szCs w:val="32"/>
        </w:rPr>
        <w:t>374件，其中减轻处罚案件154起，从轻处罚案件108起，免于处罚案件17起，柔性处罚占行政处罚案件的74.59%，有效维护公共利益和社会秩序，充分体现市场监管行政执法工作的惩戒力度和温度。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lang w:val="en-US" w:eastAsia="zh-CN"/>
        </w:rPr>
        <w:t>4、强化干部队伍建设，打造能拼善赢队伍。</w:t>
      </w:r>
      <w:r>
        <w:rPr>
          <w:rFonts w:ascii="仿宋_GB2312" w:eastAsia="仿宋_GB2312" w:hAnsi="仿宋_GB2312" w:cs="仿宋_GB2312" w:hint="eastAsia"/>
          <w:b w:val="0"/>
          <w:bCs w:val="0"/>
          <w:sz w:val="32"/>
          <w:szCs w:val="32"/>
          <w:lang w:val="en-US" w:eastAsia="zh-CN"/>
        </w:rPr>
        <w:t>一是配齐配强法制队伍，发挥法制机构参谋顾问作用。局党组高度重视法制机构和法制队伍建设，设立法规室，配备专职法制工作人员2人，7个基层所都配备了兼职法制员，充分发挥法制机构作用，对全局性工作和重大事项进行合法性审查，守住合法合规的底线。二是全面落实全员学法制度，每月开展一次全局执法干部法治实务培训，全面提升市场监管干部法治素养。2024年共开展“业务大讲堂”23次。</w:t>
      </w:r>
    </w:p>
    <w:p>
      <w:pPr>
        <w:pStyle w:val="NormalWeb"/>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firstLine="640" w:leftChars="0" w:firstLineChars="200"/>
        <w:jc w:val="both"/>
        <w:textAlignment w:val="auto"/>
        <w:rPr>
          <w:rFonts w:ascii="仿宋_GB2312" w:eastAsia="仿宋_GB2312" w:hAnsi="仿宋_GB2312" w:cs="仿宋_GB2312" w:hint="default"/>
          <w:sz w:val="32"/>
          <w:szCs w:val="32"/>
          <w:lang w:val="en-US" w:eastAsia="zh-CN"/>
        </w:rPr>
      </w:pPr>
      <w:r>
        <w:rPr>
          <w:rFonts w:ascii="仿宋_GB2312" w:eastAsia="仿宋_GB2312" w:hAnsi="仿宋_GB2312" w:cs="仿宋_GB2312" w:hint="eastAsia"/>
          <w:b/>
          <w:bCs/>
          <w:sz w:val="32"/>
          <w:szCs w:val="32"/>
          <w:lang w:val="en-US" w:eastAsia="zh-CN"/>
        </w:rPr>
        <w:t>5、</w:t>
      </w:r>
      <w:r>
        <w:rPr>
          <w:rFonts w:ascii="仿宋_GB2312" w:eastAsia="仿宋_GB2312" w:hAnsi="仿宋_GB2312" w:cs="仿宋_GB2312" w:hint="eastAsia"/>
          <w:b/>
          <w:bCs/>
          <w:i w:val="0"/>
          <w:caps w:val="0"/>
          <w:color w:val="auto"/>
          <w:spacing w:val="0"/>
          <w:w w:val="100"/>
          <w:sz w:val="32"/>
          <w:szCs w:val="32"/>
          <w:shd w:val="clear" w:color="auto" w:fill="FFFFFF"/>
          <w:lang w:val="en-US" w:eastAsia="zh-CN"/>
        </w:rPr>
        <w:t>积极</w:t>
      </w:r>
      <w:bookmarkStart w:id="0" w:name="OLE_LINK1"/>
      <w:r>
        <w:rPr>
          <w:rFonts w:ascii="仿宋_GB2312" w:eastAsia="仿宋_GB2312" w:hAnsi="仿宋_GB2312" w:cs="仿宋_GB2312" w:hint="eastAsia"/>
          <w:b/>
          <w:bCs/>
          <w:i w:val="0"/>
          <w:caps w:val="0"/>
          <w:color w:val="auto"/>
          <w:spacing w:val="0"/>
          <w:w w:val="100"/>
          <w:sz w:val="32"/>
          <w:szCs w:val="32"/>
          <w:shd w:val="clear" w:color="auto" w:fill="FFFFFF"/>
          <w:lang w:val="en-US" w:eastAsia="zh-CN"/>
        </w:rPr>
        <w:t>做好行政复议</w:t>
      </w:r>
      <w:bookmarkEnd w:id="0"/>
      <w:r>
        <w:rPr>
          <w:rFonts w:ascii="仿宋_GB2312" w:eastAsia="仿宋_GB2312" w:hAnsi="仿宋_GB2312" w:cs="仿宋_GB2312" w:hint="eastAsia"/>
          <w:b/>
          <w:bCs/>
          <w:i w:val="0"/>
          <w:caps w:val="0"/>
          <w:color w:val="auto"/>
          <w:spacing w:val="0"/>
          <w:w w:val="100"/>
          <w:sz w:val="32"/>
          <w:szCs w:val="32"/>
          <w:shd w:val="clear" w:color="auto" w:fill="FFFFFF"/>
          <w:lang w:val="en-US" w:eastAsia="zh-CN"/>
        </w:rPr>
        <w:t>、诉讼工作。</w:t>
      </w:r>
      <w:r>
        <w:rPr>
          <w:rFonts w:ascii="仿宋_GB2312" w:eastAsia="仿宋_GB2312" w:hAnsi="仿宋_GB2312" w:cs="仿宋_GB2312" w:hint="eastAsia"/>
          <w:b w:val="0"/>
          <w:i w:val="0"/>
          <w:caps w:val="0"/>
          <w:color w:val="auto"/>
          <w:spacing w:val="0"/>
          <w:w w:val="100"/>
          <w:sz w:val="32"/>
          <w:szCs w:val="32"/>
          <w:shd w:val="clear" w:color="auto" w:fill="FFFFFF"/>
          <w:lang w:val="en-US" w:eastAsia="zh-CN"/>
        </w:rPr>
        <w:t>切实加强对办案程序以及适用法律法规的严格审查，不断加强和改进行政应诉工作，认真落实行政主要负责人出庭应诉制度。2024年办理行政复议案件9件，均涉及职业打假索赔，其中维持2件，申请人撤回7件，无行政诉讼案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（三）依法履行监管职能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lang w:eastAsia="zh-CN"/>
        </w:rPr>
        <w:t>、</w:t>
      </w:r>
      <w:r>
        <w:rPr>
          <w:rFonts w:ascii="仿宋_GB2312" w:eastAsia="仿宋_GB2312" w:hAnsi="仿宋_GB2312" w:cs="仿宋_GB2312" w:hint="eastAsia"/>
          <w:b/>
          <w:bCs/>
          <w:sz w:val="32"/>
          <w:szCs w:val="32"/>
        </w:rPr>
        <w:t>持续优化营商环境。</w:t>
      </w:r>
      <w:r>
        <w:rPr>
          <w:rFonts w:ascii="仿宋_GB2312" w:eastAsia="仿宋_GB2312" w:hAnsi="仿宋_GB2312" w:cs="仿宋_GB2312" w:hint="eastAsia"/>
          <w:sz w:val="32"/>
          <w:szCs w:val="32"/>
        </w:rPr>
        <w:t>出台集群注册登记帮扶措施，有效解决市场主体住所资源紧缺，降低创业初期投入成本，扶植企业发展壮大。2024年办理集群注册登记19户。持续简化企业办事流程、压缩企业登记时间，深化“容缺受理、容缺办理”机制，落实政务网许可证遗失公告便民措施，推行邮政速递营业执照业务，实行班子成员窗口接待群众制度，现场解决群众“急难愁盼”问题18个。辖区企业网上登记率达99.76%，个体户网上登记提高至90%，邮政送达营业执照140余户，办理一照多址市场主体11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lang w:eastAsia="zh-CN"/>
        </w:rPr>
        <w:t>、</w:t>
      </w:r>
      <w:r>
        <w:rPr>
          <w:rFonts w:ascii="仿宋_GB2312" w:eastAsia="仿宋_GB2312" w:hAnsi="仿宋_GB2312" w:cs="仿宋_GB2312" w:hint="eastAsia"/>
          <w:b/>
          <w:bCs/>
          <w:sz w:val="32"/>
          <w:szCs w:val="32"/>
        </w:rPr>
        <w:t>持续筑牢“四大领域”安全底线。</w:t>
      </w:r>
      <w:r>
        <w:rPr>
          <w:rFonts w:ascii="仿宋_GB2312" w:eastAsia="仿宋_GB2312" w:hAnsi="仿宋_GB2312" w:cs="仿宋_GB2312" w:hint="eastAsia"/>
          <w:sz w:val="32"/>
          <w:szCs w:val="32"/>
        </w:rPr>
        <w:t>牢牢守住食品、药品、产品质量和特种设备领域不发生系统性、区域性重大安全责任事故的底线。一是食品安全形势平稳向好。深入开展食品安全包保督导工作，积极协调做好包保干部、监管人员、企业食品安全责任人工作衔接，不断提升包保干部履职尽责能力，累计开展线上线下培训6场次，培训包保干部604人次。组织召开食品安全风险分析研判会2次，开展食品安全包保工作督查5次；建立完善《学校食堂集中用餐陪餐制度》，组织监管部门、人大代表、属地食品安全包保干部、学校领导及家长代表等参与陪餐，充分发挥社会各界的参与、监督作用。建立并完善食品安全智慧监管视频巡查制度，组织专人对餐饮单位后厨食品安全操作进行实时网络巡查，联合市教科局每周对44所学校食堂进行网络巡查，实时监督学校食堂后厨烹饪、清洗、消毒、备餐等操作过程，通过线上平台监测与线下检查“双管”齐下，形成监管合力；组织开展校园、旅游景区、肉类产品等食品专项整治行动。累计排查整改食品安全隐患863个，下达责令改正通知书232份，立案149起。推行食品经营“红黑榜”制度，发布食品安全“红黑榜”4期，网红餐厅红黑榜1期，评定红榜23家，黑榜10家，鼓励餐饮单位学习“红榜”优秀做法，促进“黑榜”整改落实；加强食品安全风险防控，开展食品安全抽检324批次，不合格5批次，核查处置率100%，公示率100%，发布食品安全监督抽检信息12期。将食用农产品抽检与食品安全“你点我检”相结合，开展快速检测24445批次，定量检测360批次，合格率100%。二是“药械化”安全平稳有序。强化药品、医疗器械、化妆品监管力度 ，将常态化日常检查与精准化专项整治有机融合，检查药械化经营使用单位486家次，立案查处违法行为53起。开展药械网络销售环节集中治理，对全市24家药品网络销售企业进行全面检查，发现并整改问题8条，立案查处网络销售医疗器械案件8起；实现对重点品种药品经营、使用环节的追溯和医疗器械唯一标识的应用与对接，指导2家药品批发企业、3家二级医疗机构入驻“码上放心”平台，上游企业出库验证率达100%；3家医疗器械批发企业均已完成医疗器械唯一标识应用，并成功与自治区药监局监管系统对接；开展染发类化妆品检查经营使用单位135家，下达《责令改正通知书》23份，查处案件1起；开展未经许可销售“美瞳”及相关产品专项检查，下达《责令改正通知书》19份，立案3起。三是产品质量安全保障有力。开展危化品、农资、燃气具、电动自行车等重点工业产品质量安全风险隐患排查230家次，指导整改问题隐患32条。全面摸排并建立重点工业产品生产销售企业台账，指导企业严格落实工业产品质量安全主体责任“两个规定”。查办产品质量案件30起。四是特种设备安全监管扎实有效。坚持多向发力，提升监管效能</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将“依法治特”理念贯穿特种设备安全监管全过程，出动监管执法人员368人次，检查特种设备经营使用单位124家</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次</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下达安全监察指令书92份，立案7起，排查各类隐患91条，立整立改663条，限期整改39条，对检查发现的问题和隐患，建立问题清单和整改台账，强化问题整改动态跟踪，确保隐患清零；推行智慧监管，全市3家液化石油气充装单位，8家移动式压力容器充装单位实现充装追溯体系全覆盖；督促电梯使用单位、维保单位进一步落实安全主体责任，规范餐饮传菜电梯10部，老旧电梯换新1部；开展场（厂）内专用机动车辆使用安全综合治理行动，检查叉车使用单位21家，检查叉车52台，规范叉车注册登记12台次，下达《特种设备安全监察指令书》8份，立案查处2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lang w:val="en-US" w:eastAsia="zh-CN"/>
        </w:rPr>
        <w:t>3、</w:t>
      </w:r>
      <w:r>
        <w:rPr>
          <w:rFonts w:ascii="仿宋_GB2312" w:eastAsia="仿宋_GB2312" w:hAnsi="仿宋_GB2312" w:cs="仿宋_GB2312" w:hint="eastAsia"/>
          <w:b/>
          <w:bCs/>
          <w:sz w:val="32"/>
          <w:szCs w:val="32"/>
        </w:rPr>
        <w:t>全面推进“双随机、一公开”工作。</w:t>
      </w:r>
      <w:r>
        <w:rPr>
          <w:rFonts w:ascii="仿宋_GB2312" w:eastAsia="仿宋_GB2312" w:hAnsi="仿宋_GB2312" w:cs="仿宋_GB2312" w:hint="eastAsia"/>
          <w:sz w:val="32"/>
          <w:szCs w:val="32"/>
        </w:rPr>
        <w:t>突出“双随机、一公开”监管效能。充分发挥市场监管部门牵头部门统筹、协调、督促作用，减少多头多层重复执法，实现“进一次门、查多项事”</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有效规范市场执法行为，减轻经营者负担，</w:t>
      </w:r>
      <w:r>
        <w:rPr>
          <w:rFonts w:ascii="仿宋_GB2312" w:eastAsia="仿宋_GB2312" w:hAnsi="仿宋_GB2312" w:cs="仿宋_GB2312" w:hint="eastAsia"/>
          <w:sz w:val="32"/>
          <w:szCs w:val="32"/>
          <w:lang w:val="en-US" w:eastAsia="zh-CN"/>
        </w:rPr>
        <w:t>全</w:t>
      </w:r>
      <w:r>
        <w:rPr>
          <w:rFonts w:ascii="仿宋_GB2312" w:eastAsia="仿宋_GB2312" w:hAnsi="仿宋_GB2312" w:cs="仿宋_GB2312" w:hint="eastAsia"/>
          <w:sz w:val="32"/>
          <w:szCs w:val="32"/>
        </w:rPr>
        <w:t>年共下达联合检查任务30个，检查市场主体234户，检查结果公示率100%。在发挥</w:t>
      </w:r>
      <w:r>
        <w:rPr>
          <w:rFonts w:ascii="仿宋_GB2312" w:eastAsia="仿宋_GB2312" w:hAnsi="仿宋_GB2312" w:cs="仿宋_GB2312" w:hint="eastAsia"/>
          <w:sz w:val="32"/>
          <w:szCs w:val="32"/>
          <w:lang w:eastAsia="zh-CN"/>
        </w:rPr>
        <w:t>“双随机、一公开”</w:t>
      </w:r>
      <w:bookmarkStart w:id="1" w:name="_GoBack"/>
      <w:bookmarkEnd w:id="1"/>
      <w:r>
        <w:rPr>
          <w:rFonts w:ascii="仿宋_GB2312" w:eastAsia="仿宋_GB2312" w:hAnsi="仿宋_GB2312" w:cs="仿宋_GB2312" w:hint="eastAsia"/>
          <w:sz w:val="32"/>
          <w:szCs w:val="32"/>
        </w:rPr>
        <w:t>监管日常性、基础性作用的同时，兼顾专项或重点工作，下达内部抽查任务42个，检查市场主体897户，检查结果公示率100%。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lang w:val="en-US" w:eastAsia="zh-CN"/>
        </w:rPr>
        <w:t>4</w:t>
      </w:r>
      <w:r>
        <w:rPr>
          <w:rFonts w:ascii="仿宋_GB2312" w:eastAsia="仿宋_GB2312" w:hAnsi="仿宋_GB2312" w:cs="仿宋_GB2312" w:hint="eastAsia"/>
          <w:b/>
          <w:bCs/>
          <w:sz w:val="32"/>
          <w:szCs w:val="32"/>
          <w:lang w:eastAsia="zh-CN"/>
        </w:rPr>
        <w:t>、</w:t>
      </w:r>
      <w:r>
        <w:rPr>
          <w:rFonts w:ascii="仿宋_GB2312" w:eastAsia="仿宋_GB2312" w:hAnsi="仿宋_GB2312" w:cs="仿宋_GB2312" w:hint="eastAsia"/>
          <w:b/>
          <w:bCs/>
          <w:sz w:val="32"/>
          <w:szCs w:val="32"/>
        </w:rPr>
        <w:t>全面落实“谁执法谁普法”责任制。</w:t>
      </w:r>
      <w:r>
        <w:rPr>
          <w:rFonts w:ascii="仿宋_GB2312" w:eastAsia="仿宋_GB2312" w:hAnsi="仿宋_GB2312" w:cs="仿宋_GB2312" w:hint="eastAsia"/>
          <w:sz w:val="32"/>
          <w:szCs w:val="32"/>
        </w:rPr>
        <w:t>坚持“谁执法谁普法”原则，健全和落实2024年度普法任务措施清单，深入学习宣传宪法、民法典等系列活动。结合“3·15”国际消费者权益日、“4·26”世界知识产权日、“5·20”世界计量日、“6·9”世界认可日、质量月、“10·14”世界标准日等重要时间节点，组织开展普法宣传进校园、进社区、进企业、进机关服务活动。以微信公众平台、LED屏、广播、电视为媒介，通过录制微视频、发放宣传资料、召开新闻发布会等方式，广泛宣传市场监管法律法规和常识，向社会公众普及法律知识，解答热点问题，开展宣传、培训100余次，制作张贴海报、展板300余份，播放宣传标语、公益广告</w:t>
      </w:r>
      <w:r>
        <w:rPr>
          <w:rFonts w:ascii="仿宋_GB2312" w:eastAsia="仿宋_GB2312" w:hAnsi="仿宋_GB2312" w:cs="仿宋_GB2312" w:hint="eastAsia"/>
          <w:sz w:val="32"/>
          <w:szCs w:val="32"/>
          <w:lang w:val="en-US" w:eastAsia="zh-CN"/>
        </w:rPr>
        <w:t>8</w:t>
      </w:r>
      <w:r>
        <w:rPr>
          <w:rFonts w:ascii="仿宋_GB2312" w:eastAsia="仿宋_GB2312" w:hAnsi="仿宋_GB2312" w:cs="仿宋_GB2312" w:hint="eastAsia"/>
          <w:sz w:val="32"/>
          <w:szCs w:val="32"/>
        </w:rPr>
        <w:t>00余条，发放宣传单、宣传手册1万余份。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黑体" w:eastAsia="黑体" w:hAnsi="黑体" w:cs="黑体" w:hint="eastAsia"/>
          <w:sz w:val="32"/>
          <w:szCs w:val="32"/>
        </w:rPr>
        <w:t>三、下一步工作计划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en-US" w:eastAsia="zh-CN"/>
        </w:rPr>
        <w:t>2025年</w:t>
      </w:r>
      <w:r>
        <w:rPr>
          <w:rFonts w:ascii="仿宋_GB2312" w:eastAsia="仿宋_GB2312" w:hAnsi="仿宋_GB2312" w:cs="仿宋_GB2312" w:hint="eastAsia"/>
          <w:sz w:val="32"/>
          <w:szCs w:val="32"/>
        </w:rPr>
        <w:t>，我局将在</w:t>
      </w:r>
      <w:r>
        <w:rPr>
          <w:rFonts w:ascii="仿宋_GB2312" w:eastAsia="仿宋_GB2312" w:hAnsi="仿宋_GB2312" w:cs="仿宋_GB2312" w:hint="eastAsia"/>
          <w:sz w:val="32"/>
          <w:szCs w:val="32"/>
          <w:lang w:val="en-US" w:eastAsia="zh-CN"/>
        </w:rPr>
        <w:t>市</w:t>
      </w:r>
      <w:r>
        <w:rPr>
          <w:rFonts w:ascii="仿宋_GB2312" w:eastAsia="仿宋_GB2312" w:hAnsi="仿宋_GB2312" w:cs="仿宋_GB2312" w:hint="eastAsia"/>
          <w:sz w:val="32"/>
          <w:szCs w:val="32"/>
        </w:rPr>
        <w:t>委、</w:t>
      </w:r>
      <w:r>
        <w:rPr>
          <w:rFonts w:ascii="仿宋_GB2312" w:eastAsia="仿宋_GB2312" w:hAnsi="仿宋_GB2312" w:cs="仿宋_GB2312" w:hint="eastAsia"/>
          <w:sz w:val="32"/>
          <w:szCs w:val="32"/>
          <w:lang w:val="en-US" w:eastAsia="zh-CN"/>
        </w:rPr>
        <w:t>市</w:t>
      </w:r>
      <w:r>
        <w:rPr>
          <w:rFonts w:ascii="仿宋_GB2312" w:eastAsia="仿宋_GB2312" w:hAnsi="仿宋_GB2312" w:cs="仿宋_GB2312" w:hint="eastAsia"/>
          <w:sz w:val="32"/>
          <w:szCs w:val="32"/>
        </w:rPr>
        <w:t>政府坚强领导下，以更加坚定的决心、更加务实的举措，向改革要活力、向制度要效率，</w:t>
      </w:r>
      <w:r>
        <w:rPr>
          <w:rFonts w:ascii="仿宋_GB2312" w:eastAsia="仿宋_GB2312" w:hAnsi="仿宋_GB2312" w:cs="仿宋_GB2312" w:hint="eastAsia"/>
          <w:sz w:val="32"/>
          <w:szCs w:val="32"/>
          <w:lang w:val="en-US" w:eastAsia="zh-CN"/>
        </w:rPr>
        <w:t>以“实干争先年”主题活动为契机，扎实</w:t>
      </w:r>
      <w:r>
        <w:rPr>
          <w:rFonts w:ascii="仿宋_GB2312" w:eastAsia="仿宋_GB2312" w:hAnsi="仿宋_GB2312" w:cs="仿宋_GB2312" w:hint="eastAsia"/>
          <w:sz w:val="32"/>
          <w:szCs w:val="32"/>
        </w:rPr>
        <w:t>推动法治</w:t>
      </w:r>
      <w:r>
        <w:rPr>
          <w:rFonts w:ascii="仿宋_GB2312" w:eastAsia="仿宋_GB2312" w:hAnsi="仿宋_GB2312" w:cs="仿宋_GB2312" w:hint="eastAsia"/>
          <w:sz w:val="32"/>
          <w:szCs w:val="32"/>
          <w:lang w:val="en-US" w:eastAsia="zh-CN"/>
        </w:rPr>
        <w:t>政府</w:t>
      </w:r>
      <w:r>
        <w:rPr>
          <w:rFonts w:ascii="仿宋_GB2312" w:eastAsia="仿宋_GB2312" w:hAnsi="仿宋_GB2312" w:cs="仿宋_GB2312" w:hint="eastAsia"/>
          <w:sz w:val="32"/>
          <w:szCs w:val="32"/>
        </w:rPr>
        <w:t>建设再上新台阶。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坚持党建引领。巩固党组会议学法、中心组学法、领导干部述法、全员尊法学法守法工作机制，发挥“关键少数”示范带动作用，强化党员领导干部运用法治思维和法治方式依法行政的能力，秉承监管为民、执法为民理念，规范行政行为，维护市场秩序，持续优化法治营商环境，切实做到“深学之、笃信之、践行之”，以高质量党建引领法治</w:t>
      </w:r>
      <w:r>
        <w:rPr>
          <w:rFonts w:ascii="仿宋_GB2312" w:eastAsia="仿宋_GB2312" w:hAnsi="仿宋_GB2312" w:cs="仿宋_GB2312" w:hint="eastAsia"/>
          <w:sz w:val="32"/>
          <w:szCs w:val="32"/>
          <w:lang w:val="en-US" w:eastAsia="zh-CN"/>
        </w:rPr>
        <w:t>政府</w:t>
      </w:r>
      <w:r>
        <w:rPr>
          <w:rFonts w:ascii="仿宋_GB2312" w:eastAsia="仿宋_GB2312" w:hAnsi="仿宋_GB2312" w:cs="仿宋_GB2312" w:hint="eastAsia"/>
          <w:sz w:val="32"/>
          <w:szCs w:val="32"/>
        </w:rPr>
        <w:t>建设，不断增强人民群众获得感、幸福感、安全感。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坚持制度先行。以“一规划、两纲要”为指引，理顺行政体制改革与事权划分的衔接机制，持续推进落实行政执法“三项制度”，优化岗位设置、配强专业人员、再造工作流程。统筹调配市场监管力量，纵向联动，横向协同，构建边界清晰、运行高效、保障有力的法治</w:t>
      </w:r>
      <w:r>
        <w:rPr>
          <w:rFonts w:ascii="仿宋_GB2312" w:eastAsia="仿宋_GB2312" w:hAnsi="仿宋_GB2312" w:cs="仿宋_GB2312" w:hint="eastAsia"/>
          <w:sz w:val="32"/>
          <w:szCs w:val="32"/>
          <w:lang w:val="en-US" w:eastAsia="zh-CN"/>
        </w:rPr>
        <w:t>政府</w:t>
      </w:r>
      <w:r>
        <w:rPr>
          <w:rFonts w:ascii="仿宋_GB2312" w:eastAsia="仿宋_GB2312" w:hAnsi="仿宋_GB2312" w:cs="仿宋_GB2312" w:hint="eastAsia"/>
          <w:sz w:val="32"/>
          <w:szCs w:val="32"/>
        </w:rPr>
        <w:t>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坚持素质提能。深入实施干部法治素养提升工程，持续开展各类、各种形式的法治培训，筑牢干部队伍法治理念，着力培养高精专复合型人才，提高干部队伍专业化水平，不断夯实法治机关建设能力基础，以法治</w:t>
      </w:r>
      <w:r>
        <w:rPr>
          <w:rFonts w:ascii="仿宋_GB2312" w:eastAsia="仿宋_GB2312" w:hAnsi="仿宋_GB2312" w:cs="仿宋_GB2312" w:hint="eastAsia"/>
          <w:sz w:val="32"/>
          <w:szCs w:val="32"/>
          <w:lang w:val="en-US" w:eastAsia="zh-CN"/>
        </w:rPr>
        <w:t>政府建设得更</w:t>
      </w:r>
      <w:r>
        <w:rPr>
          <w:rFonts w:ascii="仿宋_GB2312" w:eastAsia="仿宋_GB2312" w:hAnsi="仿宋_GB2312" w:cs="仿宋_GB2312" w:hint="eastAsia"/>
          <w:sz w:val="32"/>
          <w:szCs w:val="32"/>
        </w:rPr>
        <w:t>大成效为</w:t>
      </w:r>
      <w:r>
        <w:rPr>
          <w:rFonts w:ascii="仿宋_GB2312" w:eastAsia="仿宋_GB2312" w:hAnsi="仿宋_GB2312" w:cs="仿宋_GB2312" w:hint="eastAsia"/>
          <w:sz w:val="32"/>
          <w:szCs w:val="32"/>
          <w:lang w:val="en-US" w:eastAsia="zh-CN"/>
        </w:rPr>
        <w:t>乌苏</w:t>
      </w:r>
      <w:r>
        <w:rPr>
          <w:rFonts w:ascii="仿宋_GB2312" w:eastAsia="仿宋_GB2312" w:hAnsi="仿宋_GB2312" w:cs="仿宋_GB2312" w:hint="eastAsia"/>
          <w:sz w:val="32"/>
          <w:szCs w:val="32"/>
        </w:rPr>
        <w:t>高质量发展贡献市场监管力量。</w:t>
      </w:r>
    </w:p>
    <w:p>
      <w:pPr>
        <w:pStyle w:val="BodyText"/>
        <w:rPr>
          <w:rFonts w:hint="eastAsia"/>
        </w:rPr>
      </w:pPr>
    </w:p>
    <w:p>
      <w:pPr>
        <w:pStyle w:val="BodyText"/>
        <w:keepNext w:val="0"/>
        <w:keepLines w:val="0"/>
        <w:pageBreakBefore w:val="0"/>
        <w:kinsoku/>
        <w:wordWrap/>
        <w:overflowPunct/>
        <w:topLinePunct w:val="0"/>
        <w:autoSpaceDN/>
        <w:bidi w:val="0"/>
        <w:adjustRightInd/>
        <w:spacing w:after="0" w:line="560" w:lineRule="exact"/>
        <w:jc w:val="both"/>
        <w:textAlignment w:val="auto"/>
        <w:rPr>
          <w:rFonts w:ascii="仿宋_GB2312" w:eastAsia="仿宋_GB2312" w:hAnsi="仿宋_GB2312" w:cs="仿宋_GB2312" w:hint="eastAsia"/>
          <w:sz w:val="32"/>
          <w:szCs w:val="32"/>
        </w:rPr>
      </w:pPr>
    </w:p>
    <w:p>
      <w:pPr>
        <w:keepNext w:val="0"/>
        <w:keepLines w:val="0"/>
        <w:pageBreakBefore w:val="0"/>
        <w:kinsoku/>
        <w:wordWrap/>
        <w:overflowPunct/>
        <w:topLinePunct w:val="0"/>
        <w:autoSpaceDN/>
        <w:bidi w:val="0"/>
        <w:adjustRightInd/>
        <w:spacing w:line="560" w:lineRule="exact"/>
        <w:jc w:val="both"/>
        <w:textAlignment w:val="auto"/>
        <w:rPr>
          <w:rFonts w:hint="eastAsia"/>
        </w:rPr>
      </w:pPr>
    </w:p>
    <w:p>
      <w:pPr>
        <w:keepNext w:val="0"/>
        <w:keepLines w:val="0"/>
        <w:pageBreakBefore w:val="0"/>
        <w:kinsoku/>
        <w:wordWrap/>
        <w:overflowPunct/>
        <w:topLinePunct w:val="0"/>
        <w:autoSpaceDN/>
        <w:bidi w:val="0"/>
        <w:adjustRightInd/>
        <w:spacing w:line="560" w:lineRule="exact"/>
        <w:ind w:firstLine="4480" w:firstLineChars="1400"/>
        <w:jc w:val="both"/>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乌苏市市场监督管理局</w:t>
      </w:r>
    </w:p>
    <w:p>
      <w:pPr>
        <w:pStyle w:val="BodyText"/>
        <w:keepNext w:val="0"/>
        <w:keepLines w:val="0"/>
        <w:pageBreakBefore w:val="0"/>
        <w:kinsoku/>
        <w:wordWrap/>
        <w:overflowPunct/>
        <w:topLinePunct w:val="0"/>
        <w:autoSpaceDN/>
        <w:bidi w:val="0"/>
        <w:adjustRightInd/>
        <w:spacing w:after="0" w:line="560" w:lineRule="exact"/>
        <w:jc w:val="both"/>
        <w:textAlignment w:val="auto"/>
        <w:rPr>
          <w:rFonts w:hint="default"/>
          <w:lang w:val="en-US" w:eastAsia="zh-CN"/>
        </w:rPr>
      </w:pPr>
      <w:r>
        <w:rPr>
          <w:rFonts w:ascii="仿宋_GB2312" w:eastAsia="仿宋_GB2312" w:hAnsi="仿宋_GB2312" w:cs="仿宋_GB2312" w:hint="eastAsia"/>
          <w:sz w:val="32"/>
          <w:szCs w:val="32"/>
          <w:lang w:val="en-US" w:eastAsia="zh-CN"/>
        </w:rPr>
        <w:t xml:space="preserve">                               2025年3月3日</w:t>
      </w:r>
    </w:p>
    <w:p>
      <w:pPr>
        <w:keepNext w:val="0"/>
        <w:keepLines w:val="0"/>
        <w:pageBreakBefore w:val="0"/>
        <w:kinsoku/>
        <w:wordWrap/>
        <w:overflowPunct/>
        <w:topLinePunct w:val="0"/>
        <w:autoSpaceDN/>
        <w:bidi w:val="0"/>
        <w:adjustRightInd/>
        <w:spacing w:line="560" w:lineRule="exact"/>
        <w:jc w:val="both"/>
        <w:textAlignment w:val="auto"/>
        <w:rPr>
          <w:rFonts w:hint="eastAsia"/>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AD47F6"/>
    <w:rsid w:val="13861050"/>
    <w:rsid w:val="15552C05"/>
    <w:rsid w:val="17D23757"/>
    <w:rsid w:val="1A932C14"/>
    <w:rsid w:val="1AC437A4"/>
    <w:rsid w:val="1CDA2465"/>
    <w:rsid w:val="1D2B18B9"/>
    <w:rsid w:val="1FEB2A92"/>
    <w:rsid w:val="2205092A"/>
    <w:rsid w:val="22284790"/>
    <w:rsid w:val="28ED2118"/>
    <w:rsid w:val="29B27FA9"/>
    <w:rsid w:val="2AAE0992"/>
    <w:rsid w:val="2B3B22F4"/>
    <w:rsid w:val="2C8608B9"/>
    <w:rsid w:val="2F4B7E26"/>
    <w:rsid w:val="2F57653D"/>
    <w:rsid w:val="367250E2"/>
    <w:rsid w:val="37C93CC1"/>
    <w:rsid w:val="3A78118E"/>
    <w:rsid w:val="3BE92C13"/>
    <w:rsid w:val="41F2243E"/>
    <w:rsid w:val="450D1720"/>
    <w:rsid w:val="4587329F"/>
    <w:rsid w:val="4B357FF2"/>
    <w:rsid w:val="51186119"/>
    <w:rsid w:val="51FC35CE"/>
    <w:rsid w:val="55825812"/>
    <w:rsid w:val="560501F2"/>
    <w:rsid w:val="56AD44C1"/>
    <w:rsid w:val="599B0EFC"/>
    <w:rsid w:val="5C5B3413"/>
    <w:rsid w:val="60BF7FF1"/>
    <w:rsid w:val="6EB7314D"/>
    <w:rsid w:val="6EFC7F8C"/>
    <w:rsid w:val="6F036404"/>
    <w:rsid w:val="70526C65"/>
    <w:rsid w:val="7274556F"/>
    <w:rsid w:val="7A916110"/>
    <w:rsid w:val="7FD837E3"/>
  </w:rsids>
  <w:docVars>
    <w:docVar w:name="commondata" w:val="eyJoZGlkIjoiZTY1MzZlZTAwYzk4MDYwYTM0YjdmYjA0MTUyOWFmO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Normal"/>
    <w:uiPriority w:val="99"/>
    <w:unhideWhenUsed/>
    <w:qFormat/>
    <w:pPr>
      <w:spacing w:after="120"/>
    </w:pPr>
  </w:style>
  <w:style w:type="paragraph" w:styleId="NormalWeb">
    <w:name w:val="Normal (Web)"/>
    <w:basedOn w:val="Normal"/>
    <w:uiPriority w:val="99"/>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9</Pages>
  <Words>4903</Words>
  <Characters>5055</Characters>
  <Application>Microsoft Office Word</Application>
  <DocSecurity>0</DocSecurity>
  <Lines>0</Lines>
  <Paragraphs>0</Paragraphs>
  <ScaleCrop>false</ScaleCrop>
  <Company/>
  <LinksUpToDate>false</LinksUpToDate>
  <CharactersWithSpaces>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2025-03-03T04:00:00Z</dcterms:created>
  <dcterms:modified xsi:type="dcterms:W3CDTF">2025-03-27T09:36:43Z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F7869869161D4E549D2F8053FE6A4628_12</vt:lpwstr>
  </property>
  <property fmtid="{D5CDD505-2E9C-101B-9397-08002B2CF9AE}" pid="3" name="KSOProductBuildVer">
    <vt:lpwstr>2052-12.1.0.16729</vt:lpwstr>
  </property>
  <property fmtid="{D5CDD505-2E9C-101B-9397-08002B2CF9AE}" pid="4" name="KSOTemplateDocerSaveRecord">
    <vt:lpwstr>eyJoZGlkIjoiMjhjYjA5MTE5ZDA4NTVkMjc4ZGUyZjQzZWU4NWQ2Y2YiLCJ1c2VySWQiOiI5NTE2MTA2NTAifQ==</vt:lpwstr>
  </property>
</Properties>
</file>