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3" w:name="_GoBack"/>
      <w:bookmarkEnd w:id="3"/>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lang w:eastAsia="zh-CN"/>
        </w:rPr>
        <w:t>不予</w:t>
      </w:r>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塔乌市监不罚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21</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z w:val="32"/>
          <w:szCs w:val="32"/>
          <w:lang w:val="en-US" w:eastAsia="zh-CN"/>
        </w:rPr>
        <w:t>乌苏市正铺牛肉面馆</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z w:val="32"/>
          <w:szCs w:val="32"/>
        </w:rPr>
        <w:t>92654202MA7</w:t>
      </w:r>
      <w:r>
        <w:rPr>
          <w:rFonts w:hint="eastAsia" w:ascii="仿宋_GB2312" w:hAnsi="仿宋_GB2312" w:eastAsia="仿宋_GB2312" w:cs="仿宋_GB2312"/>
          <w:sz w:val="32"/>
          <w:szCs w:val="32"/>
          <w:lang w:val="en-US" w:eastAsia="zh-CN"/>
        </w:rPr>
        <w:t>7K38H3P</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napToGrid w:val="0"/>
          <w:color w:val="000000"/>
          <w:spacing w:val="0"/>
          <w:kern w:val="0"/>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sz w:val="32"/>
          <w:szCs w:val="32"/>
        </w:rPr>
        <w:t>新疆塔城地区乌苏市</w:t>
      </w:r>
      <w:r>
        <w:rPr>
          <w:rFonts w:hint="eastAsia" w:ascii="仿宋_GB2312" w:hAnsi="仿宋_GB2312" w:eastAsia="仿宋_GB2312" w:cs="仿宋_GB2312"/>
          <w:sz w:val="32"/>
          <w:szCs w:val="32"/>
          <w:lang w:val="en-US" w:eastAsia="zh-CN"/>
        </w:rPr>
        <w:t>北京路北侧名品广场对面</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sz w:val="32"/>
          <w:szCs w:val="32"/>
          <w:lang w:eastAsia="zh-CN"/>
        </w:rPr>
        <w:t>拜</w:t>
      </w:r>
      <w:r>
        <w:rPr>
          <w:rFonts w:hint="eastAsia" w:ascii="仿宋_GB2312" w:hAnsi="仿宋_GB2312" w:eastAsia="仿宋_GB2312" w:cs="仿宋_GB2312"/>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2025年4月7日，我局接到关于乌苏市正铺牛肉面馆的投诉，内容为：消费者2025年4月6日在该处就餐，现反映该处辣皮子拌面标价25元，实际收取28元，消费者认为不合理，要求解决。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局执法人员</w:t>
      </w:r>
      <w:r>
        <w:rPr>
          <w:rFonts w:hint="eastAsia" w:ascii="仿宋_GB2312" w:hAnsi="仿宋_GB2312" w:eastAsia="仿宋_GB2312" w:cs="仿宋_GB2312"/>
          <w:sz w:val="32"/>
          <w:szCs w:val="32"/>
          <w:lang w:val="en-US" w:eastAsia="zh-CN"/>
        </w:rPr>
        <w:t>别尔克·</w:t>
      </w:r>
      <w:r>
        <w:rPr>
          <w:rFonts w:hint="eastAsia" w:ascii="仿宋_GB2312" w:hAnsi="仿宋_GB2312" w:eastAsia="仿宋_GB2312" w:cs="仿宋_GB2312"/>
          <w:sz w:val="32"/>
          <w:szCs w:val="32"/>
          <w:highlight w:val="none"/>
          <w:lang w:val="en-US" w:eastAsia="zh-CN"/>
        </w:rPr>
        <w:t>革命江</w:t>
      </w:r>
      <w:r>
        <w:rPr>
          <w:rFonts w:hint="eastAsia" w:ascii="仿宋_GB2312" w:hAnsi="仿宋_GB2312" w:eastAsia="仿宋_GB2312" w:cs="仿宋_GB2312"/>
          <w:sz w:val="32"/>
          <w:szCs w:val="32"/>
          <w:lang w:val="en-US" w:eastAsia="zh-CN"/>
        </w:rPr>
        <w:t>、阿依曼·阿依提木汗根据投诉线索来到位于</w:t>
      </w:r>
      <w:r>
        <w:rPr>
          <w:rFonts w:hint="eastAsia" w:ascii="仿宋_GB2312" w:hAnsi="仿宋_GB2312" w:eastAsia="仿宋_GB2312" w:cs="仿宋_GB2312"/>
          <w:sz w:val="32"/>
          <w:szCs w:val="32"/>
        </w:rPr>
        <w:t>乌苏市</w:t>
      </w:r>
      <w:r>
        <w:rPr>
          <w:rFonts w:hint="eastAsia" w:ascii="仿宋_GB2312" w:hAnsi="仿宋_GB2312" w:eastAsia="仿宋_GB2312" w:cs="仿宋_GB2312"/>
          <w:sz w:val="32"/>
          <w:szCs w:val="32"/>
          <w:lang w:val="en-US" w:eastAsia="zh-CN"/>
        </w:rPr>
        <w:t>北京路北侧名品广场对面的乌苏市正铺牛肉面馆进行监督检查核实投诉内容。现场检查时，该店正常营业，</w:t>
      </w:r>
      <w:r>
        <w:rPr>
          <w:rFonts w:hint="eastAsia" w:ascii="仿宋_GB2312" w:hAnsi="仿宋_GB2312" w:eastAsia="仿宋_GB2312" w:cs="仿宋_GB2312"/>
          <w:sz w:val="32"/>
          <w:szCs w:val="32"/>
          <w:lang w:eastAsia="zh-CN"/>
        </w:rPr>
        <w:t>经营者</w:t>
      </w:r>
      <w:r>
        <w:rPr>
          <w:rFonts w:hint="eastAsia" w:ascii="仿宋_GB2312" w:hAnsi="仿宋_GB2312" w:eastAsia="仿宋_GB2312" w:cs="仿宋_GB2312"/>
          <w:sz w:val="32"/>
          <w:szCs w:val="32"/>
          <w:lang w:val="en-US" w:eastAsia="zh-CN"/>
        </w:rPr>
        <w:t>拜*不在现场，经电话联系</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val="en-US" w:eastAsia="zh-CN"/>
        </w:rPr>
        <w:t>安**</w:t>
      </w:r>
      <w:r>
        <w:rPr>
          <w:rFonts w:hint="eastAsia" w:ascii="仿宋_GB2312" w:hAnsi="仿宋_GB2312" w:eastAsia="仿宋_GB2312" w:cs="仿宋_GB2312"/>
          <w:sz w:val="32"/>
          <w:szCs w:val="32"/>
        </w:rPr>
        <w:t>全程配合</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rPr>
        <w:t>检查，执法人员向</w:t>
      </w:r>
      <w:r>
        <w:rPr>
          <w:rFonts w:hint="eastAsia" w:ascii="仿宋_GB2312" w:hAnsi="仿宋_GB2312" w:eastAsia="仿宋_GB2312" w:cs="仿宋_GB2312"/>
          <w:sz w:val="32"/>
          <w:szCs w:val="32"/>
          <w:lang w:val="en-US" w:eastAsia="zh-CN"/>
        </w:rPr>
        <w:t>安**</w:t>
      </w:r>
      <w:r>
        <w:rPr>
          <w:rFonts w:hint="eastAsia" w:ascii="仿宋_GB2312" w:hAnsi="仿宋_GB2312" w:eastAsia="仿宋_GB2312" w:cs="仿宋_GB2312"/>
          <w:sz w:val="32"/>
          <w:szCs w:val="32"/>
        </w:rPr>
        <w:t>出示行政执法证件，</w:t>
      </w:r>
      <w:r>
        <w:rPr>
          <w:rFonts w:hint="eastAsia" w:ascii="仿宋_GB2312" w:hAnsi="仿宋_GB2312" w:eastAsia="仿宋_GB2312" w:cs="仿宋_GB2312"/>
          <w:sz w:val="32"/>
          <w:szCs w:val="32"/>
          <w:lang w:val="en-US" w:eastAsia="zh-CN"/>
        </w:rPr>
        <w:t>并说明来意。</w:t>
      </w:r>
      <w:r>
        <w:rPr>
          <w:rFonts w:hint="eastAsia" w:ascii="仿宋_GB2312" w:hAnsi="仿宋_GB2312" w:eastAsia="仿宋_GB2312" w:cs="仿宋_GB2312"/>
          <w:sz w:val="32"/>
          <w:szCs w:val="32"/>
        </w:rPr>
        <w:t>现场检查发现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lang w:val="en-US" w:eastAsia="zh-CN"/>
        </w:rPr>
        <w:t>店进门左侧墙上张贴有正铺餐饮价格表，其中辣皮子拌面标价：28元。经当事人确认，消费者于2025年4月6日，点餐辣皮子拌面1份，墙上价格表显示辣皮子拌面标价25元，在结账时实际收取28元。经当事人确认消费者投诉的情况属实，已与消费者和解并向消费者赔礼道歉。</w:t>
      </w:r>
      <w:r>
        <w:rPr>
          <w:rFonts w:hint="eastAsia" w:ascii="仿宋_GB2312" w:hAnsi="仿宋_GB2312" w:eastAsia="仿宋_GB2312" w:cs="仿宋_GB2312"/>
          <w:sz w:val="32"/>
          <w:szCs w:val="32"/>
        </w:rPr>
        <w:t>当事人的上述行为违反了《中华人民共和国价格法》第十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二款</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经报局领导批准，</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日立案，为进一步了解情况，指派</w:t>
      </w:r>
      <w:r>
        <w:rPr>
          <w:rFonts w:hint="eastAsia" w:ascii="仿宋_GB2312" w:hAnsi="仿宋_GB2312" w:eastAsia="仿宋_GB2312" w:cs="仿宋_GB2312"/>
          <w:sz w:val="32"/>
          <w:szCs w:val="32"/>
          <w:lang w:eastAsia="zh-CN"/>
        </w:rPr>
        <w:t>别尔克</w:t>
      </w:r>
      <w:r>
        <w:rPr>
          <w:rFonts w:hint="eastAsia" w:ascii="仿宋_GB2312" w:hAnsi="仿宋_GB2312" w:eastAsia="仿宋_GB2312" w:cs="仿宋_GB2312"/>
          <w:sz w:val="32"/>
          <w:szCs w:val="32"/>
          <w:lang w:val="en-US" w:eastAsia="zh-CN"/>
        </w:rPr>
        <w:t>·革命江</w:t>
      </w:r>
      <w:r>
        <w:rPr>
          <w:rFonts w:hint="eastAsia" w:ascii="仿宋_GB2312" w:hAnsi="仿宋_GB2312" w:eastAsia="仿宋_GB2312" w:cs="仿宋_GB2312"/>
          <w:sz w:val="32"/>
          <w:szCs w:val="32"/>
          <w:lang w:eastAsia="zh-CN"/>
        </w:rPr>
        <w:t>、阿依曼</w:t>
      </w:r>
      <w:r>
        <w:rPr>
          <w:rFonts w:hint="eastAsia" w:ascii="仿宋_GB2312" w:hAnsi="仿宋_GB2312" w:eastAsia="仿宋_GB2312" w:cs="仿宋_GB2312"/>
          <w:sz w:val="32"/>
          <w:szCs w:val="32"/>
          <w:lang w:val="en-US" w:eastAsia="zh-CN"/>
        </w:rPr>
        <w:t>·阿依提木汗</w:t>
      </w:r>
      <w:r>
        <w:rPr>
          <w:rFonts w:hint="eastAsia" w:ascii="仿宋_GB2312" w:hAnsi="仿宋_GB2312" w:eastAsia="仿宋_GB2312" w:cs="仿宋_GB2312"/>
          <w:sz w:val="32"/>
          <w:szCs w:val="32"/>
        </w:rPr>
        <w:t>对此案进行调查了解。本案已于202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9日</w:t>
      </w:r>
      <w:r>
        <w:rPr>
          <w:rFonts w:hint="eastAsia" w:ascii="仿宋_GB2312" w:hAnsi="仿宋_GB2312" w:eastAsia="仿宋_GB2312" w:cs="仿宋_GB2312"/>
          <w:sz w:val="32"/>
          <w:szCs w:val="32"/>
        </w:rPr>
        <w:t xml:space="preserve">调查终结。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乌苏市四家正铺牛肉面店</w:t>
      </w:r>
      <w:r>
        <w:rPr>
          <w:rFonts w:hint="eastAsia" w:ascii="仿宋_GB2312" w:hAnsi="仿宋_GB2312" w:eastAsia="仿宋_GB2312" w:cs="仿宋_GB2312"/>
          <w:sz w:val="32"/>
          <w:szCs w:val="32"/>
          <w:lang w:eastAsia="zh-CN"/>
        </w:rPr>
        <w:t>因原先的“哗啦啦”收银系统崩溃，统一将原先的“哗啦啦”收银系统更换为“美团”收银系统。其中，乌苏市正铺牛肉面馆于</w:t>
      </w:r>
      <w:r>
        <w:rPr>
          <w:rFonts w:hint="eastAsia" w:ascii="仿宋_GB2312" w:hAnsi="仿宋_GB2312" w:eastAsia="仿宋_GB2312" w:cs="仿宋_GB2312"/>
          <w:sz w:val="32"/>
          <w:szCs w:val="32"/>
          <w:highlight w:val="none"/>
          <w:lang w:val="en-US" w:eastAsia="zh-CN"/>
        </w:rPr>
        <w:t>2025年4月6日早上10点</w:t>
      </w: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lang w:eastAsia="zh-CN"/>
        </w:rPr>
        <w:t>“美团”收银</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eastAsia="zh-CN"/>
        </w:rPr>
        <w:t>维护人员进行更换收银系统，并在收银系统内对销售的辣皮子拌面的价格由原来的</w:t>
      </w:r>
      <w:r>
        <w:rPr>
          <w:rFonts w:hint="eastAsia" w:ascii="仿宋_GB2312" w:hAnsi="仿宋_GB2312" w:eastAsia="仿宋_GB2312" w:cs="仿宋_GB2312"/>
          <w:sz w:val="32"/>
          <w:szCs w:val="32"/>
          <w:lang w:val="en-US" w:eastAsia="zh-CN"/>
        </w:rPr>
        <w:t>25元</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lang w:val="en-US" w:eastAsia="zh-CN"/>
        </w:rPr>
        <w:t>28元</w:t>
      </w:r>
      <w:r>
        <w:rPr>
          <w:rFonts w:hint="eastAsia" w:ascii="仿宋_GB2312" w:hAnsi="仿宋_GB2312" w:eastAsia="仿宋_GB2312" w:cs="仿宋_GB2312"/>
          <w:sz w:val="32"/>
          <w:szCs w:val="32"/>
          <w:lang w:eastAsia="zh-CN"/>
        </w:rPr>
        <w:t>，更换系统及辣皮子拌面的价格后，未及时更改店内张贴的价格表中的辣皮子拌面的价格。</w:t>
      </w:r>
      <w:r>
        <w:rPr>
          <w:rFonts w:hint="eastAsia" w:ascii="仿宋_GB2312" w:hAnsi="仿宋_GB2312" w:eastAsia="仿宋_GB2312" w:cs="仿宋_GB2312"/>
          <w:sz w:val="32"/>
          <w:szCs w:val="32"/>
          <w:lang w:val="en-US" w:eastAsia="zh-CN"/>
        </w:rPr>
        <w:t>2025年4月6日，店员与投诉人发生价格争议后，对墙上的价格表中的辣皮子拌面的价格由原来的25元修改为28元。截至就餐时，当事人无法确定在收银系统更换维修时间销售辣皮子拌面的数量，只能确定销售投诉人的辣皮子拌面1份，销售价格为28元。当事人的违法所得为3元（实收价格28元－明示价格25元＝3元）。</w:t>
      </w:r>
      <w:r>
        <w:rPr>
          <w:rFonts w:hint="eastAsia" w:ascii="仿宋_GB2312" w:hAnsi="仿宋_GB2312" w:eastAsia="仿宋_GB2312" w:cs="仿宋_GB2312"/>
          <w:sz w:val="32"/>
          <w:szCs w:val="32"/>
          <w:lang w:eastAsia="zh-CN"/>
        </w:rPr>
        <w:t>当事人在现场、调查笔录上签字确认，未提出异议。</w:t>
      </w:r>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份，由当事人提供，证明当事人经营主体资格及经营范围；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2、《食品经营许可证》复印件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份，由当事人提供，证明当事人具有经营食品的合法资格，并在有效期内；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经营者</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份，由当事人提供，证明当事人身份信息与《营业执照》登记信息相符；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份，证明</w:t>
      </w:r>
      <w:r>
        <w:rPr>
          <w:rFonts w:hint="eastAsia" w:ascii="仿宋_GB2312" w:hAnsi="仿宋_GB2312" w:eastAsia="仿宋_GB2312" w:cs="仿宋_GB2312"/>
          <w:sz w:val="32"/>
          <w:szCs w:val="32"/>
          <w:lang w:val="en-US" w:eastAsia="zh-CN"/>
        </w:rPr>
        <w:t>2025年4月8日</w:t>
      </w:r>
      <w:r>
        <w:rPr>
          <w:rFonts w:hint="eastAsia" w:ascii="仿宋_GB2312" w:hAnsi="仿宋_GB2312" w:eastAsia="仿宋_GB2312" w:cs="仿宋_GB2312"/>
          <w:sz w:val="32"/>
          <w:szCs w:val="32"/>
        </w:rPr>
        <w:t>执法人员现场检查</w:t>
      </w:r>
      <w:r>
        <w:rPr>
          <w:rFonts w:hint="eastAsia" w:ascii="仿宋_GB2312" w:hAnsi="仿宋_GB2312" w:eastAsia="仿宋_GB2312" w:cs="仿宋_GB2312"/>
          <w:sz w:val="32"/>
          <w:szCs w:val="32"/>
          <w:lang w:eastAsia="zh-CN"/>
        </w:rPr>
        <w:t>及核实消费者投诉的事实经过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5、询问笔录2份，（一）证明</w:t>
      </w:r>
      <w:r>
        <w:rPr>
          <w:rFonts w:hint="eastAsia" w:ascii="仿宋_GB2312" w:hAnsi="仿宋_GB2312" w:eastAsia="仿宋_GB2312" w:cs="仿宋_GB2312"/>
          <w:sz w:val="32"/>
          <w:szCs w:val="32"/>
          <w:lang w:eastAsia="zh-CN"/>
        </w:rPr>
        <w:t>当事人向消费者销售的辣皮子拌面标价与售价不相符的情况；（二）证明当事人</w:t>
      </w:r>
      <w:r>
        <w:rPr>
          <w:rFonts w:hint="eastAsia" w:ascii="仿宋_GB2312" w:hAnsi="仿宋_GB2312" w:eastAsia="仿宋_GB2312" w:cs="仿宋_GB2312"/>
          <w:sz w:val="32"/>
          <w:szCs w:val="32"/>
          <w:lang w:val="en-US" w:eastAsia="zh-CN"/>
        </w:rPr>
        <w:t>因收银系统崩溃更换收银系统</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6、现场检查拍摄照片1张，音像视频资料5份，证明执法人员现场核实</w:t>
      </w:r>
      <w:r>
        <w:rPr>
          <w:rFonts w:hint="eastAsia" w:ascii="仿宋_GB2312" w:hAnsi="仿宋_GB2312" w:eastAsia="仿宋_GB2312" w:cs="仿宋_GB2312"/>
          <w:sz w:val="32"/>
          <w:szCs w:val="32"/>
          <w:lang w:eastAsia="zh-CN"/>
        </w:rPr>
        <w:t>消费者投诉</w:t>
      </w:r>
      <w:r>
        <w:rPr>
          <w:rFonts w:hint="eastAsia" w:ascii="仿宋_GB2312" w:hAnsi="仿宋_GB2312" w:eastAsia="仿宋_GB2312" w:cs="仿宋_GB2312"/>
          <w:sz w:val="32"/>
          <w:szCs w:val="32"/>
          <w:lang w:val="en-US" w:eastAsia="zh-CN"/>
        </w:rPr>
        <w:t xml:space="preserve">的事实经过和当事人因收银系统崩溃更换收银系统的事实；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7、12315投诉单、支付凭证、价格公示表照片各1份，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证明当事人于2025年4月6日向消费者</w:t>
      </w:r>
      <w:r>
        <w:rPr>
          <w:rFonts w:hint="eastAsia" w:ascii="仿宋_GB2312" w:hAnsi="仿宋_GB2312" w:eastAsia="仿宋_GB2312" w:cs="仿宋_GB2312"/>
          <w:sz w:val="32"/>
          <w:szCs w:val="32"/>
          <w:lang w:eastAsia="zh-CN"/>
        </w:rPr>
        <w:t>销售的辣皮子拌面标价与售价不符的事实及案件来源；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8、乌苏市宇辰信息技术咨询服务有限公司出具的证明1份，</w:t>
      </w:r>
      <w:r>
        <w:rPr>
          <w:rFonts w:hint="eastAsia" w:ascii="仿宋_GB2312" w:hAnsi="仿宋_GB2312" w:eastAsia="仿宋_GB2312" w:cs="仿宋_GB2312"/>
          <w:sz w:val="32"/>
          <w:szCs w:val="32"/>
          <w:lang w:eastAsia="zh-CN"/>
        </w:rPr>
        <w:t>证明当事人</w:t>
      </w:r>
      <w:r>
        <w:rPr>
          <w:rFonts w:hint="eastAsia" w:ascii="仿宋_GB2312" w:hAnsi="仿宋_GB2312" w:eastAsia="仿宋_GB2312" w:cs="仿宋_GB2312"/>
          <w:sz w:val="32"/>
          <w:szCs w:val="32"/>
          <w:lang w:val="en-US" w:eastAsia="zh-CN"/>
        </w:rPr>
        <w:t>因收银系统崩溃更换收银系统</w:t>
      </w:r>
      <w:r>
        <w:rPr>
          <w:rFonts w:hint="eastAsia" w:ascii="仿宋_GB2312" w:hAnsi="仿宋_GB2312" w:eastAsia="仿宋_GB2312" w:cs="仿宋_GB2312"/>
          <w:sz w:val="32"/>
          <w:szCs w:val="32"/>
          <w:lang w:eastAsia="zh-CN"/>
        </w:rPr>
        <w:t>的事实。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我局于2025年4月3日依法向当事人送达了《行政处罚告知书》（塔乌市监告字不罚〔2025〕147号），告知了当事人依法享有陈述、申辩的权利，当事人在法定期限内未提出陈述、申辩，视为放弃此权利。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当事人的上述行为违反了《中华人民共和国价格法》第十三条第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款“经营者</w:t>
      </w:r>
      <w:r>
        <w:rPr>
          <w:rFonts w:hint="eastAsia" w:ascii="仿宋_GB2312" w:hAnsi="仿宋_GB2312" w:eastAsia="仿宋_GB2312" w:cs="仿宋_GB2312"/>
          <w:sz w:val="32"/>
          <w:szCs w:val="32"/>
          <w:lang w:eastAsia="zh-CN"/>
        </w:rPr>
        <w:t>不得在标价之外加价出售商品，不得收取任何未予标明的费用。</w:t>
      </w:r>
      <w:r>
        <w:rPr>
          <w:rFonts w:hint="eastAsia" w:ascii="仿宋_GB2312" w:hAnsi="仿宋_GB2312" w:eastAsia="仿宋_GB2312" w:cs="仿宋_GB2312"/>
          <w:sz w:val="32"/>
          <w:szCs w:val="32"/>
        </w:rPr>
        <w:t>”的规定，属违法行为。</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鉴于当事人在案</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办理过程中态度端正，能够积极配合办案人员调查，如实陈述违法事实，</w:t>
      </w:r>
      <w:r>
        <w:rPr>
          <w:rFonts w:hint="eastAsia" w:ascii="仿宋_GB2312" w:hAnsi="仿宋_GB2312" w:eastAsia="仿宋_GB2312" w:cs="仿宋_GB2312"/>
          <w:kern w:val="0"/>
          <w:sz w:val="32"/>
          <w:szCs w:val="32"/>
          <w:lang w:eastAsia="zh-CN"/>
        </w:rPr>
        <w:t>违法行为持续时间较短</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并主动改正违法行为。当事人的上述情况符合《中华人民共和国行政处罚法》第三十三条第一款“违法行为轻微并及时改正，没有造成危害后果的，不予行政处罚。初次违法且危害后果轻微并及时改正的，可以不予以行政处罚。”所规定的不予行政处罚的情形，</w:t>
      </w:r>
      <w:r>
        <w:rPr>
          <w:rFonts w:hint="eastAsia" w:ascii="仿宋_GB2312" w:hAnsi="仿宋_GB2312" w:eastAsia="仿宋_GB2312" w:cs="仿宋_GB2312"/>
          <w:sz w:val="32"/>
          <w:szCs w:val="32"/>
          <w:lang w:val="en-US" w:eastAsia="zh-CN"/>
        </w:rPr>
        <w:t>参照《新疆维吾尔自治区新疆生产建设兵团市场监管领域轻微违法行为不予行政处罚规定清单》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序号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类别</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价格监管，事项：经营者在标价之外收取未予标明的费用，适用条件：同时符合下列条件：</w:t>
      </w:r>
      <w:r>
        <w:rPr>
          <w:rFonts w:hint="eastAsia" w:ascii="仿宋_GB2312" w:hAnsi="仿宋_GB2312" w:eastAsia="仿宋_GB2312" w:cs="仿宋_GB2312"/>
          <w:kern w:val="0"/>
          <w:sz w:val="32"/>
          <w:szCs w:val="32"/>
          <w:highlight w:val="none"/>
          <w:lang w:val="en-US" w:eastAsia="zh-CN"/>
        </w:rPr>
        <w:t>1、违法行为持续时间不超过30日；2、立即改正或责令改正；3、未造成危害后果或危害后果轻微且已承担民事责任。</w:t>
      </w:r>
      <w:r>
        <w:rPr>
          <w:rFonts w:hint="eastAsia" w:ascii="仿宋_GB2312" w:hAnsi="仿宋_GB2312" w:eastAsia="仿宋_GB2312" w:cs="仿宋_GB2312"/>
          <w:kern w:val="0"/>
          <w:sz w:val="32"/>
          <w:szCs w:val="32"/>
          <w:highlight w:val="none"/>
          <w:lang w:eastAsia="zh-CN"/>
        </w:rPr>
        <w:t>违反条款：《</w:t>
      </w:r>
      <w:r>
        <w:rPr>
          <w:rFonts w:hint="eastAsia" w:ascii="仿宋_GB2312" w:hAnsi="仿宋_GB2312" w:eastAsia="仿宋_GB2312" w:cs="仿宋_GB2312"/>
          <w:sz w:val="32"/>
          <w:szCs w:val="32"/>
        </w:rPr>
        <w:t>中华人民共和国价格法》第十三条第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highlight w:val="none"/>
          <w:lang w:eastAsia="zh-CN"/>
        </w:rPr>
        <w:t>处罚依据：</w:t>
      </w:r>
      <w:r>
        <w:rPr>
          <w:rFonts w:hint="eastAsia" w:ascii="仿宋_GB2312" w:hAnsi="仿宋_GB2312" w:eastAsia="仿宋_GB2312" w:cs="仿宋_GB2312"/>
          <w:sz w:val="32"/>
          <w:szCs w:val="32"/>
        </w:rPr>
        <w:t>《中华人民共和国价格法》第四十二条</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的情形</w:t>
      </w:r>
      <w:r>
        <w:rPr>
          <w:rFonts w:hint="eastAsia" w:ascii="仿宋_GB2312" w:hAnsi="仿宋_GB2312" w:eastAsia="仿宋_GB2312" w:cs="仿宋_GB2312"/>
          <w:sz w:val="32"/>
          <w:szCs w:val="32"/>
        </w:rPr>
        <w:t>，综合考虑个案情况、当事人主客观情况等相关因素，</w:t>
      </w:r>
      <w:r>
        <w:rPr>
          <w:rFonts w:hint="eastAsia" w:ascii="仿宋_GB2312" w:hAnsi="仿宋_GB2312" w:eastAsia="仿宋_GB2312" w:cs="仿宋_GB2312"/>
          <w:sz w:val="32"/>
          <w:szCs w:val="32"/>
          <w:lang w:eastAsia="zh-CN"/>
        </w:rPr>
        <w:t>坚持处罚与教育相结合的原则，决定对当事人不予行政处罚</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依据《中华人民共和国价格法》第四十二条：“经营者违反明码标价规定的，责令改正，没收违法所得，可以并处五千元以下的罚款。”</w:t>
      </w:r>
      <w:r>
        <w:rPr>
          <w:rFonts w:hint="eastAsia" w:ascii="仿宋_GB2312" w:hAnsi="仿宋_GB2312" w:eastAsia="仿宋_GB2312" w:cs="仿宋_GB2312"/>
          <w:sz w:val="32"/>
          <w:szCs w:val="32"/>
          <w:lang w:eastAsia="zh-CN"/>
        </w:rPr>
        <w:t>和《中华人民共和国行政处罚法》第三十三条第一款“违法行为轻微并及时改正，没有造成危害后果的，不予行政处罚。初次违法且危害后果轻微并及时改正的，可以不予以行政处罚。”</w:t>
      </w:r>
      <w:r>
        <w:rPr>
          <w:rFonts w:hint="eastAsia" w:ascii="仿宋_GB2312" w:hAnsi="仿宋_GB2312" w:eastAsia="仿宋_GB2312" w:cs="仿宋_GB2312"/>
          <w:sz w:val="32"/>
          <w:szCs w:val="32"/>
        </w:rPr>
        <w:t>的规定，责令当事人改正违法经营行为，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对当事人不予行政处罚。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w:t>
      </w:r>
      <w:r>
        <w:rPr>
          <w:rFonts w:hint="eastAsia" w:ascii="仿宋_GB2312" w:hAnsi="仿宋_GB2312" w:eastAsia="仿宋_GB2312" w:cs="仿宋_GB2312"/>
          <w:sz w:val="32"/>
          <w:szCs w:val="32"/>
          <w:lang w:eastAsia="zh-CN"/>
        </w:rPr>
        <w:t>违法行为依法不予</w:t>
      </w:r>
      <w:r>
        <w:rPr>
          <w:rFonts w:hint="eastAsia" w:ascii="仿宋_GB2312" w:hAnsi="仿宋_GB2312" w:eastAsia="仿宋_GB2312" w:cs="仿宋_GB2312"/>
          <w:sz w:val="32"/>
          <w:szCs w:val="32"/>
        </w:rPr>
        <w:t>行政处罚的，行政机关应对当事人进行教育”的规定，对当事人进行教育，具体内容如下：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加强对《中华人民共和国价格法》相关法律法规的学习，增强法律意识。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eastAsia="zh-CN"/>
        </w:rPr>
        <w:t>2、要求经营者落实经营主体责任，切实保障消费者的合法权益。</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 w:eastAsia="仿宋_GB2312" w:cs="Arial"/>
          <w:kern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3520" w:firstLineChars="11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21D0D06"/>
    <w:rsid w:val="04960E16"/>
    <w:rsid w:val="05C12696"/>
    <w:rsid w:val="079C0384"/>
    <w:rsid w:val="098C2285"/>
    <w:rsid w:val="0DB34CB0"/>
    <w:rsid w:val="0F526473"/>
    <w:rsid w:val="100C48AC"/>
    <w:rsid w:val="106208AC"/>
    <w:rsid w:val="10CF41FE"/>
    <w:rsid w:val="12D472AD"/>
    <w:rsid w:val="134C1D6F"/>
    <w:rsid w:val="14A06D86"/>
    <w:rsid w:val="19464546"/>
    <w:rsid w:val="194E6691"/>
    <w:rsid w:val="19783D77"/>
    <w:rsid w:val="19C8581D"/>
    <w:rsid w:val="1A826533"/>
    <w:rsid w:val="1B2C6BBC"/>
    <w:rsid w:val="1B5A719C"/>
    <w:rsid w:val="1C8C000A"/>
    <w:rsid w:val="1ED17950"/>
    <w:rsid w:val="1FA7488F"/>
    <w:rsid w:val="221D1D08"/>
    <w:rsid w:val="22DB4AB1"/>
    <w:rsid w:val="230C3ECD"/>
    <w:rsid w:val="23A737DF"/>
    <w:rsid w:val="24FF380F"/>
    <w:rsid w:val="27E733C6"/>
    <w:rsid w:val="2A1926DF"/>
    <w:rsid w:val="2AEC6869"/>
    <w:rsid w:val="2B175579"/>
    <w:rsid w:val="2C857ECA"/>
    <w:rsid w:val="2CDD0E15"/>
    <w:rsid w:val="2E8203DE"/>
    <w:rsid w:val="2F8006E2"/>
    <w:rsid w:val="2F890149"/>
    <w:rsid w:val="313F6598"/>
    <w:rsid w:val="320E6529"/>
    <w:rsid w:val="33556DA9"/>
    <w:rsid w:val="348E3E46"/>
    <w:rsid w:val="35A76E34"/>
    <w:rsid w:val="361971D0"/>
    <w:rsid w:val="381E5546"/>
    <w:rsid w:val="38D07A9A"/>
    <w:rsid w:val="3B371D24"/>
    <w:rsid w:val="3F6413E1"/>
    <w:rsid w:val="406475D5"/>
    <w:rsid w:val="414B4967"/>
    <w:rsid w:val="41C60AF2"/>
    <w:rsid w:val="42562163"/>
    <w:rsid w:val="425F0D40"/>
    <w:rsid w:val="435439A2"/>
    <w:rsid w:val="45056264"/>
    <w:rsid w:val="4508505B"/>
    <w:rsid w:val="45F94660"/>
    <w:rsid w:val="48D73E04"/>
    <w:rsid w:val="49D21792"/>
    <w:rsid w:val="4C1C6B6C"/>
    <w:rsid w:val="4C212564"/>
    <w:rsid w:val="4C540BCB"/>
    <w:rsid w:val="4C9618B6"/>
    <w:rsid w:val="4E3A01FD"/>
    <w:rsid w:val="4E596E78"/>
    <w:rsid w:val="4FE428F7"/>
    <w:rsid w:val="50345982"/>
    <w:rsid w:val="50613AE5"/>
    <w:rsid w:val="51FE3E19"/>
    <w:rsid w:val="553C65F0"/>
    <w:rsid w:val="59440C82"/>
    <w:rsid w:val="59EC0196"/>
    <w:rsid w:val="5ACE0119"/>
    <w:rsid w:val="5B5F3928"/>
    <w:rsid w:val="5CBE30C2"/>
    <w:rsid w:val="5D401A22"/>
    <w:rsid w:val="5E4F138D"/>
    <w:rsid w:val="5E8822ED"/>
    <w:rsid w:val="5FA349A9"/>
    <w:rsid w:val="61A64341"/>
    <w:rsid w:val="62154A5E"/>
    <w:rsid w:val="6260189E"/>
    <w:rsid w:val="640677B3"/>
    <w:rsid w:val="67227A2D"/>
    <w:rsid w:val="6AA877EA"/>
    <w:rsid w:val="6B191BE1"/>
    <w:rsid w:val="6BFC15B7"/>
    <w:rsid w:val="6C941AA7"/>
    <w:rsid w:val="6D373C2D"/>
    <w:rsid w:val="6D681AB1"/>
    <w:rsid w:val="6DC73E14"/>
    <w:rsid w:val="6DD83B98"/>
    <w:rsid w:val="6E936753"/>
    <w:rsid w:val="6F245507"/>
    <w:rsid w:val="709906C0"/>
    <w:rsid w:val="72217DBF"/>
    <w:rsid w:val="738833AE"/>
    <w:rsid w:val="73F3249F"/>
    <w:rsid w:val="74BD4884"/>
    <w:rsid w:val="76635F1C"/>
    <w:rsid w:val="76B864E6"/>
    <w:rsid w:val="76E01C9C"/>
    <w:rsid w:val="78EE0B1F"/>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2431</Words>
  <Characters>2522</Characters>
  <Lines>0</Lines>
  <Paragraphs>0</Paragraphs>
  <TotalTime>21</TotalTime>
  <ScaleCrop>false</ScaleCrop>
  <LinksUpToDate>false</LinksUpToDate>
  <CharactersWithSpaces>2940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2025-04-16T02:37:00Z</cp:lastPrinted>
  <dcterms:modified xsi:type="dcterms:W3CDTF">2025-07-29T05:23:32Z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A6981D16C0DA44B691DBE8693BF7516A</vt:lpwstr>
  </property>
  <property fmtid="{D5CDD505-2E9C-101B-9397-08002B2CF9AE}" pid="4" name="KSOTemplateDocerSaveRecord">
    <vt:lpwstr>eyJoZGlkIjoiMjhjYjA5MTE5ZDA4NTVkMjc4ZGUyZjQzZWU4NWQ2Y2YiLCJ1c2VySWQiOiI5NTE2MTA2NTAifQ==</vt:lpwstr>
  </property>
</Properties>
</file>