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line="560" w:lineRule="exact"/>
        <w:ind w:left="0" w:righ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topLinePunct w:val="0"/>
        <w:bidi w:val="0"/>
        <w:spacing w:line="560" w:lineRule="exact"/>
        <w:ind w:left="0" w:right="0" w:firstLine="0" w:firstLineChars="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行政处罚决定书</w:t>
      </w:r>
    </w:p>
    <w:p>
      <w:pPr>
        <w:keepNext w:val="0"/>
        <w:keepLines w:val="0"/>
        <w:pageBreakBefore w:val="0"/>
        <w:widowControl w:val="0"/>
        <w:kinsoku/>
        <w:overflowPunct/>
        <w:topLinePunct w:val="0"/>
        <w:autoSpaceDE/>
        <w:autoSpaceDN/>
        <w:bidi w:val="0"/>
        <w:adjustRightInd/>
        <w:snapToGrid/>
        <w:spacing w:line="560" w:lineRule="exact"/>
        <w:ind w:left="0" w:right="0" w:firstLine="0" w:firstLineChars="0"/>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lang w:eastAsia="zh-CN"/>
        </w:rPr>
        <w:t>塔乌</w:t>
      </w:r>
      <w:r>
        <w:rPr>
          <w:rFonts w:hint="eastAsia" w:ascii="仿宋" w:hAnsi="仿宋" w:eastAsia="仿宋" w:cs="Times New Roman"/>
          <w:sz w:val="32"/>
          <w:szCs w:val="32"/>
          <w:u w:val="none"/>
        </w:rPr>
        <w:t>市监</w:t>
      </w:r>
      <w:r>
        <w:rPr>
          <w:rFonts w:hint="eastAsia" w:ascii="仿宋" w:hAnsi="仿宋" w:eastAsia="仿宋" w:cs="Times New Roman"/>
          <w:sz w:val="32"/>
          <w:szCs w:val="32"/>
          <w:u w:val="none"/>
          <w:lang w:eastAsia="zh-CN"/>
        </w:rPr>
        <w:t>处</w:t>
      </w:r>
      <w:r>
        <w:rPr>
          <w:rFonts w:hint="eastAsia" w:ascii="仿宋" w:hAnsi="仿宋" w:eastAsia="仿宋" w:cs="Times New Roman"/>
          <w:sz w:val="32"/>
          <w:szCs w:val="32"/>
          <w:u w:val="none"/>
        </w:rPr>
        <w:t>罚〔</w:t>
      </w:r>
      <w:r>
        <w:rPr>
          <w:rFonts w:hint="eastAsia" w:ascii="仿宋" w:hAnsi="仿宋" w:eastAsia="仿宋" w:cs="Times New Roman"/>
          <w:sz w:val="32"/>
          <w:szCs w:val="32"/>
          <w:u w:val="none"/>
          <w:lang w:val="en-US" w:eastAsia="zh-CN"/>
        </w:rPr>
        <w:t>2025</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98</w:t>
      </w:r>
      <w:r>
        <w:rPr>
          <w:rFonts w:hint="eastAsia" w:ascii="仿宋" w:hAnsi="仿宋" w:eastAsia="仿宋" w:cs="Times New Roman"/>
          <w:sz w:val="32"/>
          <w:szCs w:val="32"/>
          <w:u w:val="none"/>
        </w:rPr>
        <w:t>号</w:t>
      </w:r>
    </w:p>
    <w:p>
      <w:pPr>
        <w:keepNext w:val="0"/>
        <w:keepLines w:val="0"/>
        <w:pageBreakBefore w:val="0"/>
        <w:widowControl/>
        <w:kinsoku w:val="0"/>
        <w:topLinePunct w:val="0"/>
        <w:autoSpaceDE w:val="0"/>
        <w:autoSpaceDN w:val="0"/>
        <w:bidi w:val="0"/>
        <w:adjustRightInd w:val="0"/>
        <w:snapToGrid w:val="0"/>
        <w:spacing w:line="560" w:lineRule="exact"/>
        <w:ind w:left="0" w:right="0" w:firstLine="0" w:firstLineChars="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snapToGrid w:val="0"/>
          <w:color w:val="000000"/>
          <w:spacing w:val="0"/>
          <w:w w:val="100"/>
          <w:kern w:val="0"/>
          <w:sz w:val="32"/>
          <w:szCs w:val="32"/>
          <w:lang w:eastAsia="zh-CN"/>
        </w:rPr>
        <w:t>乌苏市帆帆鱼锅风味餐厅</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kern w:val="0"/>
          <w:sz w:val="32"/>
          <w:szCs w:val="32"/>
          <w:lang w:val="en-US" w:eastAsia="zh-CN"/>
        </w:rPr>
        <w:t>营业执照</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kern w:val="0"/>
          <w:sz w:val="32"/>
          <w:szCs w:val="32"/>
          <w:lang w:val="en-US" w:eastAsia="zh-CN"/>
        </w:rPr>
        <w:t>食品经营许可证</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统一社会信用代码：92654202MA795PWL98</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住所（住址）：新疆塔城地区乌苏市南苑街道塔城北路倾城小区</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0"/>
          <w:sz w:val="32"/>
          <w:szCs w:val="32"/>
          <w:lang w:val="en-US" w:eastAsia="zh-CN"/>
        </w:rPr>
        <w:t>经营者：凡**</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Cs/>
          <w:sz w:val="32"/>
          <w:szCs w:val="32"/>
          <w:lang w:val="en-US" w:eastAsia="zh-CN"/>
        </w:rPr>
        <w:t>2025年4月20日，我局执法人员</w:t>
      </w:r>
      <w:r>
        <w:rPr>
          <w:rFonts w:hint="eastAsia" w:ascii="仿宋_GB2312" w:hAnsi="仿宋_GB2312" w:eastAsia="仿宋_GB2312" w:cs="仿宋_GB2312"/>
          <w:snapToGrid w:val="0"/>
          <w:color w:val="000000"/>
          <w:spacing w:val="0"/>
          <w:w w:val="100"/>
          <w:kern w:val="0"/>
          <w:sz w:val="32"/>
          <w:szCs w:val="32"/>
          <w:lang w:val="en-US" w:eastAsia="zh-CN"/>
        </w:rPr>
        <w:t>撒玉锋、巴德玛</w:t>
      </w:r>
      <w:r>
        <w:rPr>
          <w:rFonts w:hint="eastAsia" w:ascii="仿宋_GB2312" w:hAnsi="仿宋_GB2312" w:eastAsia="仿宋_GB2312" w:cs="仿宋_GB2312"/>
          <w:bCs/>
          <w:sz w:val="32"/>
          <w:szCs w:val="32"/>
          <w:lang w:val="en-US" w:eastAsia="zh-CN"/>
        </w:rPr>
        <w:t>收到12315新疆市场监管投诉举报平台工单（编号1654202002025042049017846），受理内容为：“2025年4月19日，本人和朋友在帆帆鱼锅纸包鱼吃饭，没有吃完的食品，对商家说明需要打包。商家在未告知的情况下收取了6元打包桶的费用，店内也没有见到打包桶的价格公示，现投诉他没有履行明码标价和价格告知”。根据投诉线索，我局执法人员</w:t>
      </w:r>
      <w:r>
        <w:rPr>
          <w:rFonts w:hint="eastAsia" w:ascii="仿宋_GB2312" w:hAnsi="仿宋_GB2312" w:eastAsia="仿宋_GB2312" w:cs="仿宋_GB2312"/>
          <w:snapToGrid w:val="0"/>
          <w:color w:val="000000"/>
          <w:spacing w:val="0"/>
          <w:w w:val="100"/>
          <w:kern w:val="0"/>
          <w:sz w:val="32"/>
          <w:szCs w:val="32"/>
          <w:lang w:val="en-US" w:eastAsia="zh-CN"/>
        </w:rPr>
        <w:t>撒玉锋、巴德玛于</w:t>
      </w:r>
      <w:r>
        <w:rPr>
          <w:rFonts w:hint="eastAsia" w:ascii="仿宋_GB2312" w:hAnsi="仿宋_GB2312" w:eastAsia="仿宋_GB2312" w:cs="仿宋_GB2312"/>
          <w:bCs/>
          <w:sz w:val="32"/>
          <w:szCs w:val="32"/>
          <w:lang w:val="en-US" w:eastAsia="zh-CN"/>
        </w:rPr>
        <w:t>当日来到位于</w:t>
      </w:r>
      <w:r>
        <w:rPr>
          <w:rFonts w:hint="eastAsia" w:ascii="仿宋_GB2312" w:hAnsi="仿宋_GB2312" w:eastAsia="仿宋_GB2312" w:cs="仿宋_GB2312"/>
          <w:snapToGrid w:val="0"/>
          <w:color w:val="000000"/>
          <w:spacing w:val="0"/>
          <w:w w:val="100"/>
          <w:kern w:val="0"/>
          <w:sz w:val="32"/>
          <w:szCs w:val="32"/>
          <w:lang w:val="en-US" w:eastAsia="zh-CN"/>
        </w:rPr>
        <w:t>新疆塔城地区乌苏市南苑办事处塔城北路倾城小区</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snapToGrid w:val="0"/>
          <w:color w:val="000000"/>
          <w:spacing w:val="0"/>
          <w:w w:val="100"/>
          <w:kern w:val="0"/>
          <w:sz w:val="32"/>
          <w:szCs w:val="32"/>
          <w:lang w:val="en-US" w:eastAsia="zh-CN"/>
        </w:rPr>
        <w:t>乌苏市帆帆鱼锅风味餐厅，</w:t>
      </w:r>
      <w:r>
        <w:rPr>
          <w:rFonts w:hint="eastAsia" w:ascii="仿宋_GB2312" w:hAnsi="仿宋_GB2312" w:eastAsia="仿宋_GB2312" w:cs="仿宋_GB2312"/>
          <w:bCs/>
          <w:sz w:val="32"/>
          <w:szCs w:val="32"/>
          <w:lang w:val="en-US" w:eastAsia="zh-CN"/>
        </w:rPr>
        <w:t>该店正常营业，</w:t>
      </w:r>
      <w:r>
        <w:rPr>
          <w:rFonts w:hint="eastAsia" w:ascii="仿宋_GB2312" w:hAnsi="仿宋_GB2312" w:eastAsia="仿宋_GB2312" w:cs="仿宋_GB2312"/>
          <w:snapToGrid w:val="0"/>
          <w:color w:val="000000"/>
          <w:spacing w:val="0"/>
          <w:w w:val="100"/>
          <w:kern w:val="0"/>
          <w:sz w:val="32"/>
          <w:szCs w:val="32"/>
          <w:lang w:val="en-US" w:eastAsia="zh-CN"/>
        </w:rPr>
        <w:t>经营者凡**不在店内，委托妻子黄**配合检查，执法人员出示行政执法证后在黄**的配合下开展执法检查。在该店吧台对面调料台发现摆放有打包盒3个，该区域未发现打包盒收费的价格公示，执法人员现场查看了该餐厅的点餐单，未发现打包盒收费相关信息，在餐厅内其他区域也未发现打包盒相关收费价格信息，店内的餐食、饮料、酒水均有明码标价。执法人员要求当事人立即整改未明码标价的打包盒费用的违法行为，当事人现场进行了整改，在店内醒目的位置明确标示出“打包盒3元/个”。</w:t>
      </w:r>
      <w:r>
        <w:rPr>
          <w:rFonts w:hint="eastAsia" w:ascii="仿宋_GB2312" w:hAnsi="仿宋_GB2312" w:eastAsia="仿宋_GB2312" w:cs="仿宋_GB2312"/>
          <w:bCs/>
          <w:sz w:val="32"/>
          <w:szCs w:val="32"/>
          <w:lang w:val="en-US" w:eastAsia="zh-CN"/>
        </w:rPr>
        <w:t>执法人员检查时发现该店</w:t>
      </w:r>
      <w:r>
        <w:rPr>
          <w:rFonts w:hint="eastAsia" w:ascii="仿宋_GB2312" w:hAnsi="仿宋_GB2312" w:eastAsia="仿宋_GB2312" w:cs="仿宋_GB2312"/>
          <w:snapToGrid w:val="0"/>
          <w:color w:val="000000"/>
          <w:spacing w:val="0"/>
          <w:w w:val="100"/>
          <w:kern w:val="0"/>
          <w:sz w:val="32"/>
          <w:szCs w:val="32"/>
          <w:lang w:val="en-US" w:eastAsia="zh-CN"/>
        </w:rPr>
        <w:t>南楼梯处张贴有一张广告牌，广告内容含有帆帆鱼锅·纸包鱼，龙利鱼的营业价值“据营养专家称，龙利鱼作为优质鱼类，其脂肪中含有不饱和脂肪酸，具有抗动脉粥样硬化之功效，对防治心脑血管疾病和增强记忆颇有益处。同时据营养测定，龙利鱼中的欧米伽脂肪酸，可以抑制眼睛里的自由基，防止新血管的形成，降低晶体炎症的发生，这就是它又被称为“护眼鱼肉”的原因。所以它还特别适合整天面对电脑的上班族为健康保健品。”字样。</w:t>
      </w:r>
      <w:r>
        <w:rPr>
          <w:rFonts w:hint="eastAsia" w:ascii="仿宋_GB2312" w:hAnsi="仿宋_GB2312" w:eastAsia="仿宋_GB2312" w:cs="仿宋_GB2312"/>
          <w:bCs/>
          <w:sz w:val="32"/>
          <w:szCs w:val="32"/>
          <w:lang w:val="en-US" w:eastAsia="zh-CN"/>
        </w:rPr>
        <w:t>当事人上述行为</w:t>
      </w:r>
      <w:r>
        <w:rPr>
          <w:rFonts w:hint="eastAsia" w:ascii="仿宋_GB2312" w:hAnsi="仿宋_GB2312" w:eastAsia="仿宋_GB2312" w:cs="仿宋_GB2312"/>
          <w:snapToGrid w:val="0"/>
          <w:color w:val="000000"/>
          <w:spacing w:val="0"/>
          <w:w w:val="100"/>
          <w:kern w:val="0"/>
          <w:sz w:val="32"/>
          <w:szCs w:val="32"/>
          <w:lang w:val="en-US" w:eastAsia="zh-CN"/>
        </w:rPr>
        <w:t>违反了《中华人民共和国广告法》第十七条的规定。</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经查明，2023年11月，</w:t>
      </w:r>
      <w:r>
        <w:rPr>
          <w:rFonts w:hint="eastAsia" w:ascii="仿宋_GB2312" w:hAnsi="仿宋_GB2312" w:eastAsia="仿宋_GB2312" w:cs="仿宋_GB2312"/>
          <w:snapToGrid w:val="0"/>
          <w:color w:val="000000"/>
          <w:spacing w:val="0"/>
          <w:w w:val="100"/>
          <w:kern w:val="0"/>
          <w:sz w:val="32"/>
          <w:szCs w:val="32"/>
          <w:lang w:eastAsia="zh-CN"/>
        </w:rPr>
        <w:t>乌苏市帆帆鱼锅风味餐厅负责人</w:t>
      </w:r>
      <w:r>
        <w:rPr>
          <w:rFonts w:hint="eastAsia" w:ascii="仿宋_GB2312" w:hAnsi="仿宋_GB2312" w:eastAsia="仿宋_GB2312" w:cs="仿宋_GB2312"/>
          <w:snapToGrid w:val="0"/>
          <w:color w:val="000000"/>
          <w:spacing w:val="0"/>
          <w:w w:val="100"/>
          <w:kern w:val="0"/>
          <w:sz w:val="32"/>
          <w:szCs w:val="32"/>
          <w:lang w:val="en-US" w:eastAsia="zh-CN"/>
        </w:rPr>
        <w:t>凡**自行从百度网下载内容为：“帆帆鱼锅·纸包鱼，龙利鱼的营业价值：“据营养专家称，龙利鱼作为优质鱼类，其脂肪中含有不饱和脂肪酸，具有抗动脉粥样硬化之功效，对防治心脑血管疾病和增强记忆颇有益处。同时据营养测定，龙利鱼中的欧米伽脂肪酸，可以抑制眼睛里的自由基，防止新血管的形成，降低晶体炎症的发生，这就是它又被称为“护眼鱼肉”的原因。所以它还特别适合整天面对电脑的上班族为健康保健品。”</w:t>
      </w:r>
      <w:r>
        <w:rPr>
          <w:rFonts w:hint="eastAsia" w:ascii="仿宋_GB2312" w:hAnsi="仿宋_GB2312" w:eastAsia="仿宋_GB2312" w:cs="仿宋_GB2312"/>
          <w:snapToGrid w:val="0"/>
          <w:color w:val="000000"/>
          <w:spacing w:val="0"/>
          <w:w w:val="100"/>
          <w:kern w:val="0"/>
          <w:sz w:val="32"/>
          <w:szCs w:val="32"/>
          <w:lang w:val="zh-CN" w:eastAsia="zh-CN"/>
        </w:rPr>
        <w:t>的</w:t>
      </w:r>
      <w:r>
        <w:rPr>
          <w:rFonts w:hint="eastAsia" w:ascii="仿宋_GB2312" w:hAnsi="仿宋_GB2312" w:eastAsia="仿宋_GB2312" w:cs="仿宋_GB2312"/>
          <w:snapToGrid w:val="0"/>
          <w:color w:val="000000"/>
          <w:spacing w:val="0"/>
          <w:w w:val="100"/>
          <w:kern w:val="0"/>
          <w:sz w:val="32"/>
          <w:szCs w:val="32"/>
          <w:lang w:val="en-US" w:eastAsia="zh-CN"/>
        </w:rPr>
        <w:t>广告用语，在乌苏市麟动广告制作室以600元的价格制作宣传广告牌，悬挂在该店南楼梯处位置，当事人以手机转账的形式付款，提供了转账记录。截至2025年4月20日检查发现时，当事人在餐饮活动中发布的宣传广告用语中，含有预防治疗疾病的目的，构成在非医疗、药品、医疗器械广告中涉及疾病治疗功能和使用医疗用语的违法行为。当事人在现场、询问笔录上签字确认，未提出异议。</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上述事实，主要有以下证据证明：</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1、现场笔录1份，证明执法人员现场检查的情况，及当事</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人发布的广告宣传内容涉及疾病治疗功能和使用医疗用语，使推销的食品与药品、医疗器械相混淆的用语的事实；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2、询问笔录1份，证明当事人发布的广告宣传用语中涉及疾病治疗功能和使用医疗用语，使推销的食品与药品、医疗器械相混淆的用语的事实；以及发布广告的时间、广告费用情况；</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3、现场检查拍摄照片2张，照片（一）证明执法人员现场检查发现当事人发布的涉案广告事实；照片（二）证明执法人员现场检查发现，当事人发布的广告宣传牌内容使用医疗用语，使推销的食品与药品、医疗器械相混淆的用语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4、经营者提供的2023年11月19日制作涉案广告宣传牌缴费600元微信转账记录1份，证明经营者在乌苏市麟动广告工作室制作涉案广告牌费用的事实；</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5、营业执照、经营者身份证复印件各1份，证明当事人的</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经营主体资格并在有效期内及经营者的身份信息与营业执照登记的内容相符；</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6、授权委托书、受委托人身份证复印件各1份，证明当事人、受委托人基本情况，以及委托事项、权限、期限；</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Cs/>
          <w:sz w:val="32"/>
          <w:szCs w:val="32"/>
          <w:lang w:val="en-US" w:eastAsia="zh-CN"/>
        </w:rPr>
        <w:t>7、12315新疆市场监管投诉举报平台工单及反馈单复印件1份，帆帆鱼锅纸包鱼结账单1份，</w:t>
      </w:r>
      <w:r>
        <w:rPr>
          <w:rFonts w:hint="eastAsia" w:ascii="仿宋_GB2312" w:hAnsi="仿宋_GB2312" w:eastAsia="仿宋_GB2312" w:cs="仿宋_GB2312"/>
          <w:snapToGrid w:val="0"/>
          <w:color w:val="000000"/>
          <w:spacing w:val="0"/>
          <w:w w:val="100"/>
          <w:kern w:val="0"/>
          <w:sz w:val="32"/>
          <w:szCs w:val="32"/>
          <w:lang w:val="en-US" w:eastAsia="zh-CN"/>
        </w:rPr>
        <w:t>餐厅点餐单1份，现场整改照片1张，</w:t>
      </w:r>
      <w:r>
        <w:rPr>
          <w:rFonts w:hint="eastAsia" w:ascii="仿宋_GB2312" w:hAnsi="仿宋_GB2312" w:eastAsia="仿宋_GB2312" w:cs="仿宋_GB2312"/>
          <w:bCs/>
          <w:sz w:val="32"/>
          <w:szCs w:val="32"/>
          <w:lang w:val="en-US" w:eastAsia="zh-CN"/>
        </w:rPr>
        <w:t>证明当事人未明码标价收取打包盒费用的违法行为；</w:t>
      </w:r>
      <w:r>
        <w:rPr>
          <w:rFonts w:hint="eastAsia" w:ascii="仿宋_GB2312" w:hAnsi="仿宋_GB2312" w:eastAsia="仿宋_GB2312" w:cs="仿宋_GB2312"/>
          <w:snapToGrid w:val="0"/>
          <w:color w:val="000000"/>
          <w:spacing w:val="0"/>
          <w:w w:val="100"/>
          <w:kern w:val="0"/>
          <w:sz w:val="32"/>
          <w:szCs w:val="32"/>
          <w:lang w:val="en-US" w:eastAsia="zh-CN"/>
        </w:rPr>
        <w:t>证明当事人现场整改打包盒未明码标价的事实。</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bCs/>
          <w:sz w:val="32"/>
          <w:szCs w:val="32"/>
          <w:lang w:val="en-US" w:eastAsia="zh-CN"/>
        </w:rPr>
        <w:t>本局于2025年6月23日依法向当事人送达了《行政处罚告知书》（</w:t>
      </w:r>
      <w:r>
        <w:rPr>
          <w:rFonts w:hint="eastAsia" w:ascii="仿宋_GB2312" w:hAnsi="仿宋_GB2312" w:eastAsia="仿宋_GB2312" w:cs="仿宋_GB2312"/>
          <w:snapToGrid w:val="0"/>
          <w:color w:val="000000"/>
          <w:spacing w:val="-7"/>
          <w:kern w:val="0"/>
          <w:sz w:val="32"/>
          <w:szCs w:val="32"/>
          <w:lang w:eastAsia="zh-CN"/>
        </w:rPr>
        <w:t>塔乌市</w:t>
      </w:r>
      <w:r>
        <w:rPr>
          <w:rFonts w:hint="eastAsia" w:ascii="仿宋_GB2312" w:hAnsi="仿宋_GB2312" w:eastAsia="仿宋_GB2312" w:cs="仿宋_GB2312"/>
          <w:snapToGrid w:val="0"/>
          <w:color w:val="000000"/>
          <w:spacing w:val="-7"/>
          <w:kern w:val="0"/>
          <w:sz w:val="32"/>
          <w:szCs w:val="32"/>
        </w:rPr>
        <w:t>监罚告〔</w:t>
      </w:r>
      <w:r>
        <w:rPr>
          <w:rFonts w:hint="eastAsia" w:ascii="仿宋_GB2312" w:hAnsi="仿宋_GB2312" w:eastAsia="仿宋_GB2312" w:cs="仿宋_GB2312"/>
          <w:snapToGrid w:val="0"/>
          <w:color w:val="000000"/>
          <w:spacing w:val="18"/>
          <w:kern w:val="0"/>
          <w:sz w:val="32"/>
          <w:szCs w:val="32"/>
          <w:u w:val="none" w:color="auto"/>
          <w:lang w:val="en-US" w:eastAsia="zh-CN"/>
        </w:rPr>
        <w:t>2025</w:t>
      </w:r>
      <w:r>
        <w:rPr>
          <w:rFonts w:hint="eastAsia" w:ascii="仿宋_GB2312" w:hAnsi="仿宋_GB2312" w:eastAsia="仿宋_GB2312" w:cs="仿宋_GB2312"/>
          <w:snapToGrid w:val="0"/>
          <w:color w:val="000000"/>
          <w:spacing w:val="-7"/>
          <w:kern w:val="0"/>
          <w:sz w:val="32"/>
          <w:szCs w:val="32"/>
          <w:u w:val="none" w:color="auto"/>
        </w:rPr>
        <w:t>〕</w:t>
      </w:r>
      <w:r>
        <w:rPr>
          <w:rFonts w:hint="eastAsia" w:ascii="仿宋_GB2312" w:hAnsi="仿宋_GB2312" w:eastAsia="仿宋_GB2312" w:cs="仿宋_GB2312"/>
          <w:snapToGrid w:val="0"/>
          <w:color w:val="000000"/>
          <w:spacing w:val="18"/>
          <w:kern w:val="0"/>
          <w:sz w:val="32"/>
          <w:szCs w:val="32"/>
          <w:u w:val="none" w:color="auto"/>
          <w:lang w:val="en-US" w:eastAsia="zh-CN"/>
        </w:rPr>
        <w:t>80</w:t>
      </w:r>
      <w:r>
        <w:rPr>
          <w:rFonts w:hint="eastAsia" w:ascii="仿宋_GB2312" w:hAnsi="仿宋_GB2312" w:eastAsia="仿宋_GB2312" w:cs="仿宋_GB2312"/>
          <w:snapToGrid w:val="0"/>
          <w:color w:val="000000"/>
          <w:spacing w:val="-7"/>
          <w:kern w:val="0"/>
          <w:sz w:val="32"/>
          <w:szCs w:val="32"/>
        </w:rPr>
        <w:t>号</w:t>
      </w:r>
      <w:r>
        <w:rPr>
          <w:rFonts w:hint="eastAsia" w:ascii="仿宋_GB2312" w:hAnsi="仿宋_GB2312" w:eastAsia="仿宋_GB2312" w:cs="仿宋_GB2312"/>
          <w:bCs/>
          <w:sz w:val="32"/>
          <w:szCs w:val="32"/>
          <w:lang w:val="en-US" w:eastAsia="zh-CN"/>
        </w:rPr>
        <w:t>），告知了当事人依法享有陈述、申辩权利，当事人在法定期限内未提出陈述、申辩，视为放弃此权利。</w:t>
      </w:r>
    </w:p>
    <w:p>
      <w:pPr>
        <w:keepNext w:val="0"/>
        <w:keepLines w:val="0"/>
        <w:pageBreakBefore w:val="0"/>
        <w:widowControl/>
        <w:tabs>
          <w:tab w:val="left" w:pos="4380"/>
        </w:tabs>
        <w:kinsoku/>
        <w:wordWrap/>
        <w:overflowPunct w:val="0"/>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当事人的上述行为违反了《中华人民共和国广告法》第十七条：“除医疗、药品、医疗器械广告外，禁止其他任何广告涉及疾病治疗功能，并不得使用医疗用语或者易使推销的商品与药品、医疗器械相混淆的用语。”的规定，属违法行为。</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在案件办理过程中态度端正，能够积极配合办案人员调查，如实陈述违法事实，当事人已通过学习法律法规认识到自身的违法行为并积极改正。当事人的上述情况符合《中华人民共和国行政处罚法》第三十二条第一款：“当事人有下列情形之一的，应当依法从轻或者减轻行政处罚：（一）主动消除或者减轻违法行为危害后果”规定的从轻或减轻的情形。又鉴于当事人在非医疗、药品、医疗器械广告中涉及疾病治疗功能和使用医疗用语的违法行为持续时间一年以上，符合《新疆维吾尔自治区新疆生产建设兵团市场监督管理行政处罚裁量基准》第三章《广告监督管理》第一节《中华人民共和国广告法》“序号5，违法行为：（2）违反本法第十七条规定；违法情节：有下列情形之一的：（1）违法行为持续时间一年以上的；”规定的从重的情形。</w:t>
      </w:r>
    </w:p>
    <w:p>
      <w:pPr>
        <w:keepNext w:val="0"/>
        <w:keepLines w:val="0"/>
        <w:pageBreakBefore w:val="0"/>
        <w:widowControl/>
        <w:numPr>
          <w:ilvl w:val="0"/>
          <w:numId w:val="0"/>
        </w:numPr>
        <w:tabs>
          <w:tab w:val="left" w:pos="4380"/>
        </w:tabs>
        <w:kinsoku/>
        <w:wordWrap/>
        <w:overflowPunct w:val="0"/>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综上，根据《新疆维吾尔自治区新疆生产建设兵团市场监督管理行政处罚裁量权适用规定》第二十二条第二款“违法行为人既有从轻或者减轻行政处罚情形，又有从重行政处罚情形的，应当结合案件具体情况综合考量，根据主要情节作出裁量决定，不得从轻、减轻行政处罚。”的规定，综合考虑个案情况、当事人主客观情况等相关因素，决定给予当事人一般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Cs/>
          <w:sz w:val="32"/>
          <w:szCs w:val="32"/>
          <w:lang w:val="en-US" w:eastAsia="zh-CN"/>
        </w:rPr>
        <w:t>依据《中华人民共和国广告法》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的规定，责令当事人改正违法行为，决定</w:t>
      </w:r>
      <w:r>
        <w:rPr>
          <w:rFonts w:hint="eastAsia" w:ascii="仿宋_GB2312" w:hAnsi="仿宋_GB2312" w:eastAsia="仿宋_GB2312" w:cs="仿宋_GB2312"/>
          <w:kern w:val="0"/>
          <w:sz w:val="32"/>
          <w:szCs w:val="32"/>
          <w:lang w:val="en-US" w:eastAsia="zh-CN"/>
        </w:rPr>
        <w:t>对当事人处罚如下：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责令停止发布违法广告；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napToGrid w:val="0"/>
          <w:color w:val="000000"/>
          <w:spacing w:val="0"/>
          <w:w w:val="100"/>
          <w:kern w:val="0"/>
          <w:sz w:val="32"/>
          <w:szCs w:val="32"/>
          <w:lang w:val="en-US" w:eastAsia="zh-CN"/>
        </w:rPr>
      </w:pPr>
      <w:r>
        <w:rPr>
          <w:rFonts w:hint="eastAsia" w:ascii="仿宋_GB2312" w:hAnsi="仿宋_GB2312" w:eastAsia="仿宋_GB2312" w:cs="仿宋_GB2312"/>
          <w:snapToGrid w:val="0"/>
          <w:color w:val="000000"/>
          <w:spacing w:val="0"/>
          <w:w w:val="100"/>
          <w:kern w:val="0"/>
          <w:sz w:val="32"/>
          <w:szCs w:val="32"/>
          <w:lang w:val="en-US" w:eastAsia="zh-CN"/>
        </w:rPr>
        <w:t>2、处广告费用600元的2.3倍罚款1380元。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4480" w:firstLineChars="14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乌苏市市场监督管理局</w:t>
      </w:r>
    </w:p>
    <w:p>
      <w:pPr>
        <w:keepNext w:val="0"/>
        <w:keepLines w:val="0"/>
        <w:pageBreakBefore w:val="0"/>
        <w:widowControl w:val="0"/>
        <w:kinsoku/>
        <w:wordWrap w:val="0"/>
        <w:overflowPunct/>
        <w:topLinePunct w:val="0"/>
        <w:autoSpaceDE/>
        <w:autoSpaceDN/>
        <w:bidi w:val="0"/>
        <w:adjustRightInd/>
        <w:snapToGrid/>
        <w:spacing w:line="560" w:lineRule="exact"/>
        <w:ind w:left="0" w:right="0" w:firstLine="0" w:firstLineChars="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2025年7月2日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z w:val="32"/>
          <w:szCs w:val="32"/>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pgSz w:w="11906" w:h="16838"/>
      <w:pgMar w:top="1383" w:right="1633" w:bottom="138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EB56D"/>
    <w:multiLevelType w:val="singleLevel"/>
    <w:tmpl w:val="2B1EB5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8E16FB2"/>
    <w:rsid w:val="00DC57F7"/>
    <w:rsid w:val="00EA32DF"/>
    <w:rsid w:val="01483184"/>
    <w:rsid w:val="01C97CA1"/>
    <w:rsid w:val="05627C01"/>
    <w:rsid w:val="06435479"/>
    <w:rsid w:val="068E0F51"/>
    <w:rsid w:val="08DF719C"/>
    <w:rsid w:val="0C203DF5"/>
    <w:rsid w:val="0C51597A"/>
    <w:rsid w:val="0DBC3817"/>
    <w:rsid w:val="0EA91959"/>
    <w:rsid w:val="11C527FA"/>
    <w:rsid w:val="128F2196"/>
    <w:rsid w:val="164B2086"/>
    <w:rsid w:val="19EA650F"/>
    <w:rsid w:val="1A4E34E2"/>
    <w:rsid w:val="1B69358D"/>
    <w:rsid w:val="1E3B309E"/>
    <w:rsid w:val="20DE03B8"/>
    <w:rsid w:val="22D741D1"/>
    <w:rsid w:val="2335653D"/>
    <w:rsid w:val="23EF1A71"/>
    <w:rsid w:val="240B1D79"/>
    <w:rsid w:val="24D5295B"/>
    <w:rsid w:val="252135EB"/>
    <w:rsid w:val="25FF0912"/>
    <w:rsid w:val="2673766D"/>
    <w:rsid w:val="29B805A3"/>
    <w:rsid w:val="2E1A6430"/>
    <w:rsid w:val="2EF0415C"/>
    <w:rsid w:val="2FFF534B"/>
    <w:rsid w:val="30925BBF"/>
    <w:rsid w:val="350A4C95"/>
    <w:rsid w:val="35EE7531"/>
    <w:rsid w:val="36E668E2"/>
    <w:rsid w:val="36FA0239"/>
    <w:rsid w:val="3A563FA6"/>
    <w:rsid w:val="3C620AF2"/>
    <w:rsid w:val="3C7709BB"/>
    <w:rsid w:val="3CD728B6"/>
    <w:rsid w:val="3E6D1878"/>
    <w:rsid w:val="3EC90A0B"/>
    <w:rsid w:val="3EE66096"/>
    <w:rsid w:val="3FC96023"/>
    <w:rsid w:val="40F10826"/>
    <w:rsid w:val="42CA0869"/>
    <w:rsid w:val="43250829"/>
    <w:rsid w:val="43DF1F29"/>
    <w:rsid w:val="440F27B9"/>
    <w:rsid w:val="443F079D"/>
    <w:rsid w:val="44455DE8"/>
    <w:rsid w:val="44DF3D8B"/>
    <w:rsid w:val="455A2D00"/>
    <w:rsid w:val="47241DC7"/>
    <w:rsid w:val="472F0871"/>
    <w:rsid w:val="477D172C"/>
    <w:rsid w:val="4C6D0949"/>
    <w:rsid w:val="4DCB3DE8"/>
    <w:rsid w:val="4EC3587B"/>
    <w:rsid w:val="4F9261E7"/>
    <w:rsid w:val="508E4780"/>
    <w:rsid w:val="50CF02A4"/>
    <w:rsid w:val="529E1798"/>
    <w:rsid w:val="52EF3DF8"/>
    <w:rsid w:val="53277565"/>
    <w:rsid w:val="553326ED"/>
    <w:rsid w:val="55D26803"/>
    <w:rsid w:val="572D3B16"/>
    <w:rsid w:val="58E16FB2"/>
    <w:rsid w:val="5BFD180D"/>
    <w:rsid w:val="609B470C"/>
    <w:rsid w:val="61250C85"/>
    <w:rsid w:val="61E64A14"/>
    <w:rsid w:val="62EC0A77"/>
    <w:rsid w:val="639524C4"/>
    <w:rsid w:val="63DA03E2"/>
    <w:rsid w:val="664C23E4"/>
    <w:rsid w:val="66A75F46"/>
    <w:rsid w:val="6A4E2574"/>
    <w:rsid w:val="6B5C2732"/>
    <w:rsid w:val="6CEA448F"/>
    <w:rsid w:val="6E9544FD"/>
    <w:rsid w:val="715B3951"/>
    <w:rsid w:val="73D45E32"/>
    <w:rsid w:val="746A15D9"/>
    <w:rsid w:val="77C959B4"/>
    <w:rsid w:val="7A49759E"/>
    <w:rsid w:val="7A95542D"/>
    <w:rsid w:val="7B1E128A"/>
    <w:rsid w:val="7D4C456D"/>
    <w:rsid w:val="7DC41E9D"/>
    <w:rsid w:val="7E84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3125</Words>
  <Characters>3279</Characters>
  <Lines>0</Lines>
  <Paragraphs>0</Paragraphs>
  <TotalTime>43</TotalTime>
  <ScaleCrop>false</ScaleCrop>
  <LinksUpToDate>false</LinksUpToDate>
  <CharactersWithSpaces>3483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2025-07-02T08:56:00Z</cp:lastPrinted>
  <dcterms:modified xsi:type="dcterms:W3CDTF">2025-07-29T05:26:32Z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y fmtid="{D5CDD505-2E9C-101B-9397-08002B2CF9AE}" pid="4" name="KSOTemplateDocerSaveRecord">
    <vt:lpwstr>eyJoZGlkIjoiMjhjYjA5MTE5ZDA4NTVkMjc4ZGUyZjQzZWU4NWQ2Y2YiLCJ1c2VySWQiOiI5NTE2MTA2NTAifQ==</vt:lpwstr>
  </property>
</Properties>
</file>