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ind w:left="0" w:firstLine="0" w:firstLine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20" w:lineRule="exact"/>
        <w:ind w:left="0" w:firstLine="0" w:firstLineChars="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20" w:lineRule="exact"/>
        <w:ind w:left="0" w:firstLine="0" w:firstLineChars="0"/>
        <w:jc w:val="center"/>
        <w:textAlignment w:val="baseline"/>
        <w:rPr>
          <w:rFonts w:hint="eastAsia" w:ascii="仿宋_GB2312" w:hAnsi="仿宋_GB2312" w:eastAsia="仿宋_GB2312" w:cs="仿宋_GB2312"/>
          <w:snapToGrid w:val="0"/>
          <w:color w:val="000000"/>
          <w:spacing w:val="-7"/>
          <w:kern w:val="0"/>
          <w:sz w:val="32"/>
          <w:szCs w:val="32"/>
          <w:lang w:val="en-US" w:eastAsia="zh-CN"/>
        </w:rPr>
      </w:pPr>
      <w:r>
        <w:rPr>
          <w:rFonts w:hint="eastAsia" w:ascii="仿宋_GB2312" w:hAnsi="仿宋_GB2312" w:eastAsia="仿宋_GB2312" w:cs="仿宋_GB2312"/>
          <w:snapToGrid w:val="0"/>
          <w:color w:val="000000"/>
          <w:spacing w:val="-7"/>
          <w:kern w:val="0"/>
          <w:sz w:val="32"/>
          <w:szCs w:val="32"/>
          <w:lang w:val="en-US" w:eastAsia="zh-CN"/>
        </w:rPr>
        <w:t>塔乌市监处罚〔2025</w:t>
      </w:r>
      <w:r>
        <w:rPr>
          <w:rFonts w:hint="eastAsia" w:ascii="仿宋_GB2312" w:hAnsi="仿宋_GB2312" w:eastAsia="仿宋_GB2312" w:cs="仿宋_GB2312"/>
          <w:snapToGrid w:val="0"/>
          <w:color w:val="auto"/>
          <w:spacing w:val="-7"/>
          <w:kern w:val="0"/>
          <w:sz w:val="32"/>
          <w:szCs w:val="32"/>
          <w:lang w:val="en-US" w:eastAsia="zh-CN"/>
        </w:rPr>
        <w:t>〕121号</w:t>
      </w:r>
    </w:p>
    <w:p>
      <w:pPr>
        <w:keepNext w:val="0"/>
        <w:keepLines w:val="0"/>
        <w:pageBreakBefore w:val="0"/>
        <w:widowControl w:val="0"/>
        <w:kinsoku/>
        <w:wordWrap/>
        <w:overflowPunct/>
        <w:topLinePunct w:val="0"/>
        <w:autoSpaceDE/>
        <w:autoSpaceDN/>
        <w:bidi w:val="0"/>
        <w:adjustRightInd/>
        <w:spacing w:line="520" w:lineRule="exact"/>
        <w:ind w:left="0" w:firstLine="0" w:firstLineChars="0"/>
        <w:jc w:val="both"/>
        <w:textAlignment w:val="auto"/>
        <w:rPr>
          <w:rFonts w:hint="eastAsia" w:ascii="仿宋_GB2312" w:hAnsi="仿宋_GB2312" w:eastAsia="仿宋_GB2312" w:cs="仿宋_GB2312"/>
          <w:bCs/>
          <w:kern w:val="1"/>
          <w:sz w:val="32"/>
          <w:szCs w:val="32"/>
        </w:rPr>
      </w:pPr>
    </w:p>
    <w:p>
      <w:pPr>
        <w:keepNext w:val="0"/>
        <w:keepLines w:val="0"/>
        <w:pageBreakBefore w:val="0"/>
        <w:widowControl w:val="0"/>
        <w:kinsoku/>
        <w:wordWrap/>
        <w:overflowPunct/>
        <w:topLinePunct w:val="0"/>
        <w:autoSpaceDE/>
        <w:autoSpaceDN/>
        <w:bidi w:val="0"/>
        <w:adjustRightInd/>
        <w:spacing w:line="520" w:lineRule="exact"/>
        <w:ind w:lef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0"/>
          <w:sz w:val="32"/>
          <w:szCs w:val="32"/>
          <w:lang w:val="en-US" w:eastAsia="zh-CN"/>
        </w:rPr>
        <w:t>乌苏市明盛时代超市有限公司</w:t>
      </w:r>
    </w:p>
    <w:p>
      <w:pPr>
        <w:keepNext w:val="0"/>
        <w:keepLines w:val="0"/>
        <w:pageBreakBefore w:val="0"/>
        <w:widowControl w:val="0"/>
        <w:kinsoku/>
        <w:wordWrap/>
        <w:overflowPunct/>
        <w:topLinePunct w:val="0"/>
        <w:autoSpaceDE/>
        <w:autoSpaceDN/>
        <w:bidi w:val="0"/>
        <w:adjustRightInd/>
        <w:spacing w:line="520" w:lineRule="exact"/>
        <w:ind w:left="0" w:firstLine="0" w:firstLine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0"/>
          <w:sz w:val="32"/>
          <w:szCs w:val="32"/>
          <w:lang w:val="en-US" w:eastAsia="zh-CN"/>
        </w:rPr>
        <w:t>91654202MA7AAWT212</w:t>
      </w:r>
    </w:p>
    <w:p>
      <w:pPr>
        <w:keepNext w:val="0"/>
        <w:keepLines w:val="0"/>
        <w:pageBreakBefore w:val="0"/>
        <w:widowControl w:val="0"/>
        <w:kinsoku/>
        <w:wordWrap/>
        <w:overflowPunct/>
        <w:topLinePunct w:val="0"/>
        <w:autoSpaceDE/>
        <w:autoSpaceDN/>
        <w:bidi w:val="0"/>
        <w:adjustRightInd/>
        <w:spacing w:line="520" w:lineRule="exact"/>
        <w:ind w:left="0" w:firstLine="0" w:firstLineChars="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kern w:val="0"/>
          <w:sz w:val="32"/>
          <w:szCs w:val="32"/>
          <w:lang w:val="en-US" w:eastAsia="zh-CN"/>
        </w:rPr>
        <w:t>新疆塔城地区乌苏市新市区街道青岛路001号明盛时代广场地下室</w:t>
      </w:r>
    </w:p>
    <w:p>
      <w:pPr>
        <w:keepNext w:val="0"/>
        <w:keepLines w:val="0"/>
        <w:pageBreakBefore w:val="0"/>
        <w:widowControl w:val="0"/>
        <w:kinsoku/>
        <w:wordWrap/>
        <w:overflowPunct/>
        <w:topLinePunct w:val="0"/>
        <w:autoSpaceDE/>
        <w:autoSpaceDN/>
        <w:bidi w:val="0"/>
        <w:adjustRightInd/>
        <w:spacing w:line="520" w:lineRule="exact"/>
        <w:ind w:left="0" w:firstLine="0" w:firstLineChars="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0"/>
          <w:sz w:val="32"/>
          <w:szCs w:val="32"/>
          <w:lang w:val="en-US" w:eastAsia="zh-CN"/>
        </w:rPr>
        <w:t>王**</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4月16日，我局接到投诉举报人投诉举报信件，内容为：“本人”2025年4月12日在乌苏市明盛时代超市有限公司购买的双面胶（袋装），执行标准QB/T2424中7.1.2中明确要求要有生产日期和产品批次，但该产品没有生产日期；北京二锅头56°，委托方：北京京醇酒业有限公司，受托方（制造方）河北顺星酒业有限公司，条码6923586400856，经查询该商品条码为受托方（制造方）河北顺星酒业有限公司，按照</w:t>
      </w:r>
      <w:r>
        <w:rPr>
          <w:rFonts w:hint="eastAsia" w:ascii="仿宋_GB2312" w:hAnsi="仿宋_GB2312" w:eastAsia="仿宋_GB2312" w:cs="仿宋_GB2312"/>
          <w:kern w:val="0"/>
          <w:sz w:val="32"/>
          <w:szCs w:val="32"/>
          <w:highlight w:val="none"/>
          <w:lang w:val="en-US" w:eastAsia="zh-CN"/>
        </w:rPr>
        <w:t>国家质监局</w:t>
      </w:r>
      <w:r>
        <w:rPr>
          <w:rFonts w:hint="eastAsia" w:ascii="仿宋_GB2312" w:hAnsi="仿宋_GB2312" w:eastAsia="仿宋_GB2312" w:cs="仿宋_GB2312"/>
          <w:kern w:val="0"/>
          <w:sz w:val="32"/>
          <w:szCs w:val="32"/>
          <w:lang w:val="en-US" w:eastAsia="zh-CN"/>
        </w:rPr>
        <w:t>关于商品条码实施过程中有关意见答复函的规定，委托加工方的商品应使用委托商条码，该商品使用被委托方生产条码不符合相关规定。2025年4月18日，我局执法人员来到位于新疆塔城地区乌苏市新市区街道青岛路001号明盛时代广场地下室的乌苏市明盛时代超市有限公司核实投诉，发现该公司销售的商品：1、北京二锅头，执行标准：GB/T20822，生产许可证编号：5C11513060700325，酒精度：56%vol，净含量：100ml，条码：6923586400856，外包装标签：北京京醇酒业有限公司，受托方（制造方）：河北顺星酒业有限责任公司，数量：32瓶</w:t>
      </w:r>
      <w:r>
        <w:rPr>
          <w:rFonts w:hint="eastAsia" w:ascii="仿宋_GB2312" w:hAnsi="仿宋_GB2312" w:eastAsia="仿宋_GB2312" w:cs="仿宋_GB2312"/>
          <w:color w:val="auto"/>
          <w:kern w:val="0"/>
          <w:sz w:val="32"/>
          <w:szCs w:val="32"/>
          <w:lang w:val="en-US" w:eastAsia="zh-CN"/>
        </w:rPr>
        <w:t>；2、双面胶，型号：XL-501，规格：0.8×10码，执行标准：QB/T2424，外包装企业：宁波鑫隆文具有限公司，外包装无生产日期，该公司负责人现场提供了双面胶包装纸箱，包装纸箱显示：品名：双面胶带（袋装），货号：XL-501，数量：480pcs，规格：0.8cm10码，包装尺寸：45.5×42.5×55cm，20250108，宁波鑫隆文具有限公司。执法人员对该公司销售未标注生产日期的双面胶的行为下发了</w:t>
      </w:r>
      <w:r>
        <w:rPr>
          <w:rFonts w:hint="eastAsia" w:ascii="仿宋_GB2312" w:hAnsi="仿宋_GB2312" w:eastAsia="仿宋_GB2312" w:cs="仿宋_GB2312"/>
          <w:kern w:val="0"/>
          <w:sz w:val="32"/>
          <w:szCs w:val="32"/>
          <w:lang w:val="en-US" w:eastAsia="zh-CN"/>
        </w:rPr>
        <w:t>《责令改正通知书》</w:t>
      </w:r>
      <w:r>
        <w:rPr>
          <w:rFonts w:hint="eastAsia" w:ascii="仿宋_GB2312" w:hAnsi="仿宋_GB2312" w:eastAsia="仿宋_GB2312" w:cs="仿宋_GB2312"/>
          <w:spacing w:val="0"/>
          <w:sz w:val="32"/>
          <w:szCs w:val="32"/>
          <w:u w:val="none" w:color="auto"/>
          <w:lang w:val="en-US" w:eastAsia="zh-CN"/>
        </w:rPr>
        <w:t>（乌市监责改</w:t>
      </w:r>
      <w:r>
        <w:rPr>
          <w:rFonts w:hint="eastAsia" w:ascii="仿宋_GB2312" w:hAnsi="仿宋_GB2312" w:eastAsia="仿宋_GB2312" w:cs="仿宋_GB2312"/>
          <w:kern w:val="0"/>
          <w:sz w:val="32"/>
          <w:szCs w:val="32"/>
          <w:lang w:val="en-US" w:eastAsia="zh-CN"/>
        </w:rPr>
        <w:t>126-1</w:t>
      </w:r>
      <w:r>
        <w:rPr>
          <w:rFonts w:hint="eastAsia" w:ascii="仿宋_GB2312" w:hAnsi="仿宋_GB2312" w:eastAsia="仿宋_GB2312" w:cs="仿宋_GB2312"/>
          <w:spacing w:val="0"/>
          <w:sz w:val="32"/>
          <w:szCs w:val="32"/>
          <w:u w:val="none" w:color="auto"/>
          <w:lang w:val="en-US" w:eastAsia="zh-CN"/>
        </w:rPr>
        <w:t>号）</w:t>
      </w:r>
      <w:r>
        <w:rPr>
          <w:rFonts w:hint="eastAsia" w:ascii="仿宋_GB2312" w:hAnsi="仿宋_GB2312" w:eastAsia="仿宋_GB2312" w:cs="仿宋_GB2312"/>
          <w:kern w:val="0"/>
          <w:sz w:val="32"/>
          <w:szCs w:val="32"/>
          <w:lang w:val="en-US" w:eastAsia="zh-CN"/>
        </w:rPr>
        <w:t>，责令改正违法行为。当事人涉嫌经销的商品北京二锅头印有未经核准注册、备案商品条码的行为，违反了《商品条码管理办法》第二十一条第一款、第二十四条第一款的规定，为进一步了解情况，经报局领导批准，于2025年4月30日立案，并指派刘鹏、宋皓对此案进行调查了解。本案已于2025年6月16日调查终结。</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查，乌苏市明盛时代超市有限公司于2024年1月12日从河南领鑫科技有限公司以60元/件的价格购进北京二锅头，外包装标签标示：执行标准：GB/T20822，生产许可证编号：5C11513060700325，酒精度：56%vol，净含量：100ml，条码：6923586400856，外包装标识：北京京醇酒业有限公司，受托方（制造方）：河北顺星酒业有限责任公司，数量：5件，每件40瓶，每瓶单价1.5元，合计金额300元。截至检查发现时，当事人以3.8元/瓶的价格售出168瓶，销售总金额：638.4元（3.8元×168瓶=638.4元），</w:t>
      </w:r>
      <w:r>
        <w:rPr>
          <w:rFonts w:hint="eastAsia" w:ascii="仿宋_GB2312" w:hAnsi="仿宋_GB2312" w:eastAsia="仿宋_GB2312" w:cs="仿宋_GB2312"/>
          <w:color w:val="auto"/>
          <w:kern w:val="0"/>
          <w:sz w:val="32"/>
          <w:szCs w:val="32"/>
          <w:lang w:val="en-US" w:eastAsia="zh-CN"/>
        </w:rPr>
        <w:t>未销售</w:t>
      </w:r>
      <w:r>
        <w:rPr>
          <w:rFonts w:hint="eastAsia" w:ascii="仿宋_GB2312" w:hAnsi="仿宋_GB2312" w:eastAsia="仿宋_GB2312" w:cs="仿宋_GB2312"/>
          <w:kern w:val="0"/>
          <w:sz w:val="32"/>
          <w:szCs w:val="32"/>
          <w:lang w:val="en-US" w:eastAsia="zh-CN"/>
        </w:rPr>
        <w:t>32瓶。2025年5月6日我局向中国物品编码中心申请商品条码协查，2025年5月22日收到中国物品编码中心商品条码协查专用复函，查询结果该商品条码为河北顺星酒业有限公司厂商识别代码。当事人销售的该批次未经核准注册、备案商品条码的涉案北京二锅头的货值金额为760元（3.8元/瓶×200瓶=760元）。当事人在现场笔录、调查笔录上签字确认，未提出异议。</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上述事实，主要有以下证据证明：</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1、《营业执照》《食品经营许可证》复印件各1份，由当事人提供，证明当事人经营主体资格及经营范围；</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2、身份证复印件1份，由当事人提供，证明该公司法定代表人身份信息与《营业执照》登记信息相符；</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3、现场笔录1份，证明2025年4月18日执法人员对当事人经营场所进行现场检查，核实投诉举报情况；</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询问笔录1份，证明当事人经销的印有未经核准注册、备案商品条码北京二锅头的数量、价格及销售情况；</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5、当事人提供的供货商资质、进货票据各1份，证明当事人销售的涉案北京二锅头的进货来源、数量、价格的事实；</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6、投诉举报（履职申请书）及相关材料1份，证明当事人经销的商品印有未经核准注册、备案商品条码的事实及案件来源；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7、中国物品编码中心商品条码协查申请表和专用复函各1份，证明当事人经销的商品北京二锅头印有未经核准注册、备案商品条码的事实；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8、当事人提供的销售记录1份，证明当事人经销的印有未经核准注册、备案商品条码北京二锅头的数量、价格的事实；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9、责令改正通知书及送达回证各1份，证明执法人员责令当事人改正违法行为的事实。</w:t>
      </w:r>
    </w:p>
    <w:p>
      <w:pPr>
        <w:keepNext w:val="0"/>
        <w:keepLines w:val="0"/>
        <w:pageBreakBefore w:val="0"/>
        <w:widowControl w:val="0"/>
        <w:tabs>
          <w:tab w:val="left" w:pos="838"/>
        </w:tabs>
        <w:kinsoku/>
        <w:wordWrap/>
        <w:overflowPunct/>
        <w:topLinePunct w:val="0"/>
        <w:bidi w:val="0"/>
        <w:adjustRightInd w:val="0"/>
        <w:snapToGrid/>
        <w:spacing w:line="520" w:lineRule="exact"/>
        <w:ind w:lef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依法向当事人送达了《行政处罚告知书》（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乌市监罚告〔202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155</w:t>
      </w:r>
      <w:r>
        <w:rPr>
          <w:rFonts w:hint="eastAsia" w:ascii="仿宋_GB2312" w:hAnsi="仿宋_GB2312" w:eastAsia="仿宋_GB2312" w:cs="仿宋_GB2312"/>
          <w:kern w:val="0"/>
          <w:sz w:val="32"/>
          <w:szCs w:val="32"/>
          <w:highlight w:val="none"/>
        </w:rPr>
        <w:t>号</w:t>
      </w:r>
      <w:r>
        <w:rPr>
          <w:rFonts w:hint="eastAsia" w:ascii="仿宋_GB2312" w:hAnsi="仿宋_GB2312" w:eastAsia="仿宋_GB2312" w:cs="仿宋_GB2312"/>
          <w:kern w:val="0"/>
          <w:sz w:val="32"/>
          <w:szCs w:val="32"/>
        </w:rPr>
        <w:t>），告知了当事人依法享有陈述、申辩的权利，当事人在法定期限内未提出陈述、申辩，视为放弃此权利。</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的上述行为违反了《商品条码管理办法》第二十一条第一款“任何单位和个人未经核准注册不得使用厂商识别代码和相应的条码。”和第二十四条第一款“销售者不得经销违反第二十一条规定的商品。”的规定，当事人已构成经销的商品印有未经核准注册、备案商品条码的违法行为。</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鉴于当事人积极配合案件调查，主动提供相关证据材料，符合《新疆维吾尔自治区新疆生产建设兵团市场监督管理行政处罚裁量权适用规定》第十七条第二项“符合下列情形之一的，可以从轻或者减轻行政处罚：（二）积极配合市场监管部门调查并主动提供证据材料的；”的规定，参照《新疆维吾尔自治区新疆生产建设兵团市场监督管理行政处罚裁量基准》（2024年版）第七章商品条码监督管理第一节《商品条码管理办法》“序号（3）。违法行为：经销的商品印有未经核准注册、备案或者伪造的商品条码的行为。违法情节：有下列情形之一的：（1）货值金额不满2万元的；（2）有其他从轻情形的。裁量基准：（1）责令其改正；（2）处以3000元以下罚款。”的规定，综合考虑个案情况，当事人主客观情况等相关因素，坚持处罚与教育相结合的原则，决定给予当事人从轻处罚。</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依据《商品条码管理办法》第三十六条“ 经销的商品印有未经核准注册、备案或者伪造的商品条码的，责令其改正，处以10000元以下罚款。”的规定，责令当事人改正违法经营行为，决定对当事人处罚如下：</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处1000元罚款。</w:t>
      </w:r>
    </w:p>
    <w:p>
      <w:pPr>
        <w:keepNext w:val="0"/>
        <w:keepLines w:val="0"/>
        <w:pageBreakBefore w:val="0"/>
        <w:widowControl w:val="0"/>
        <w:kinsoku/>
        <w:wordWrap w:val="0"/>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kinsoku/>
        <w:wordWrap w:val="0"/>
        <w:overflowPunct/>
        <w:topLinePunct w:val="0"/>
        <w:autoSpaceDE/>
        <w:autoSpaceDN/>
        <w:bidi w:val="0"/>
        <w:adjustRightInd/>
        <w:snapToGrid/>
        <w:spacing w:line="52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left="0" w:firstLine="3840" w:firstLineChars="1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乌苏市市场监督管理局</w:t>
      </w:r>
    </w:p>
    <w:p>
      <w:pPr>
        <w:keepNext w:val="0"/>
        <w:keepLines w:val="0"/>
        <w:pageBreakBefore w:val="0"/>
        <w:widowControl w:val="0"/>
        <w:kinsoku/>
        <w:wordWrap w:val="0"/>
        <w:overflowPunct/>
        <w:topLinePunct w:val="0"/>
        <w:autoSpaceDE/>
        <w:autoSpaceDN/>
        <w:bidi w:val="0"/>
        <w:adjustRightInd/>
        <w:snapToGrid/>
        <w:spacing w:line="520" w:lineRule="exact"/>
        <w:ind w:left="0" w:firstLine="0"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bookmarkStart w:id="3" w:name="_GoBack"/>
      <w:bookmarkEnd w:id="3"/>
    </w:p>
    <w:p>
      <w:pPr>
        <w:keepNext w:val="0"/>
        <w:keepLines w:val="0"/>
        <w:pageBreakBefore w:val="0"/>
        <w:widowControl w:val="0"/>
        <w:kinsoku/>
        <w:wordWrap w:val="0"/>
        <w:overflowPunct/>
        <w:topLinePunct w:val="0"/>
        <w:autoSpaceDE/>
        <w:autoSpaceDN/>
        <w:bidi w:val="0"/>
        <w:adjustRightInd/>
        <w:snapToGrid w:val="0"/>
        <w:spacing w:line="52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2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2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20" w:lineRule="exact"/>
        <w:ind w:lef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I1tTZAAAACQEAAA8AAAAAAAAAAQAgAAAAIgAAAGRycy9kb3ducmV2LnhtbFBL&#10;AQIUABQAAAAIAIdO4kBIb0jC9QEAAOcDAAAOAAAAAAAAAAEAIAAAACgBAABkcnMvZTJvRG9jLnht&#10;bFBLBQYAAAAABgAGAFkBAACPBQ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pacing w:line="520" w:lineRule="exact"/>
        <w:ind w:lef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LQpb2gAAAAwBAAAPAAAAAAAAAAEAIAAAACIAAABkcnMvZG93bnJldi54&#10;bWxQSwECFAAUAAAACACHTuJARWhFufgBAADnAwAADgAAAAAAAAABACAAAAApAQAAZHJzL2Uyb0Rv&#10;Yy54bWxQSwUGAAAAAAYABgBZAQAAkwU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ANDGMR+QEAAOcDAAAOAAAAAAAAAAEAIAAAACcBAABkcnMvZTJvRG9j&#10;LnhtbFBLBQYAAAAABgAGAFkBAACS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9F4C1B"/>
    <w:rsid w:val="01F57B93"/>
    <w:rsid w:val="02B74240"/>
    <w:rsid w:val="058949AE"/>
    <w:rsid w:val="079C0384"/>
    <w:rsid w:val="0953428A"/>
    <w:rsid w:val="098C2285"/>
    <w:rsid w:val="0EE478F4"/>
    <w:rsid w:val="100C48AC"/>
    <w:rsid w:val="10CF41FE"/>
    <w:rsid w:val="11C20FD7"/>
    <w:rsid w:val="134C1D6F"/>
    <w:rsid w:val="14A06D86"/>
    <w:rsid w:val="19464546"/>
    <w:rsid w:val="194E6691"/>
    <w:rsid w:val="19C8581D"/>
    <w:rsid w:val="1A826533"/>
    <w:rsid w:val="1B5A719C"/>
    <w:rsid w:val="1D774AAE"/>
    <w:rsid w:val="1ED17950"/>
    <w:rsid w:val="1FA7488F"/>
    <w:rsid w:val="221D1D08"/>
    <w:rsid w:val="2279112C"/>
    <w:rsid w:val="22DB4AB1"/>
    <w:rsid w:val="23A737DF"/>
    <w:rsid w:val="249A1ED8"/>
    <w:rsid w:val="24FF380F"/>
    <w:rsid w:val="25E41347"/>
    <w:rsid w:val="26A3496B"/>
    <w:rsid w:val="27E733C6"/>
    <w:rsid w:val="2A7E3DD8"/>
    <w:rsid w:val="2AEC6869"/>
    <w:rsid w:val="2C857ECA"/>
    <w:rsid w:val="2D9F43DF"/>
    <w:rsid w:val="2E615930"/>
    <w:rsid w:val="2E8203DE"/>
    <w:rsid w:val="2F8006E2"/>
    <w:rsid w:val="2F890149"/>
    <w:rsid w:val="312069AA"/>
    <w:rsid w:val="313F6598"/>
    <w:rsid w:val="33556DA9"/>
    <w:rsid w:val="348E3E46"/>
    <w:rsid w:val="35A76E34"/>
    <w:rsid w:val="361971D0"/>
    <w:rsid w:val="38D07A9A"/>
    <w:rsid w:val="38DF3B98"/>
    <w:rsid w:val="3B371D24"/>
    <w:rsid w:val="3D623158"/>
    <w:rsid w:val="3F6413E1"/>
    <w:rsid w:val="3FDF0977"/>
    <w:rsid w:val="3FF40785"/>
    <w:rsid w:val="406475D5"/>
    <w:rsid w:val="414B4967"/>
    <w:rsid w:val="41C60AF2"/>
    <w:rsid w:val="42562163"/>
    <w:rsid w:val="425F0D40"/>
    <w:rsid w:val="435439A2"/>
    <w:rsid w:val="438773AD"/>
    <w:rsid w:val="45056264"/>
    <w:rsid w:val="4508505B"/>
    <w:rsid w:val="46161143"/>
    <w:rsid w:val="48D73E04"/>
    <w:rsid w:val="49D21792"/>
    <w:rsid w:val="4C1C6B6C"/>
    <w:rsid w:val="4C6E2566"/>
    <w:rsid w:val="4C9618B6"/>
    <w:rsid w:val="4E3A01FD"/>
    <w:rsid w:val="4E596E78"/>
    <w:rsid w:val="4FE428F7"/>
    <w:rsid w:val="50345982"/>
    <w:rsid w:val="50613AE5"/>
    <w:rsid w:val="50994837"/>
    <w:rsid w:val="536A7240"/>
    <w:rsid w:val="553C65F0"/>
    <w:rsid w:val="55441DF0"/>
    <w:rsid w:val="59440C82"/>
    <w:rsid w:val="59BD12F2"/>
    <w:rsid w:val="5ACE0119"/>
    <w:rsid w:val="5B5F3928"/>
    <w:rsid w:val="5CBE30C2"/>
    <w:rsid w:val="5D401A22"/>
    <w:rsid w:val="5DFA6C66"/>
    <w:rsid w:val="5E4F138D"/>
    <w:rsid w:val="5FA349A9"/>
    <w:rsid w:val="62154A5E"/>
    <w:rsid w:val="62FB27A8"/>
    <w:rsid w:val="640677B3"/>
    <w:rsid w:val="66B50C27"/>
    <w:rsid w:val="67227A2D"/>
    <w:rsid w:val="6AA877EA"/>
    <w:rsid w:val="6BFC15B7"/>
    <w:rsid w:val="6C941AA7"/>
    <w:rsid w:val="6D373C2D"/>
    <w:rsid w:val="6D681AB1"/>
    <w:rsid w:val="6DC73E14"/>
    <w:rsid w:val="6DD83B98"/>
    <w:rsid w:val="6F245507"/>
    <w:rsid w:val="709906C0"/>
    <w:rsid w:val="72217DBF"/>
    <w:rsid w:val="738833AE"/>
    <w:rsid w:val="73F3249F"/>
    <w:rsid w:val="74BD4884"/>
    <w:rsid w:val="76B864E6"/>
    <w:rsid w:val="76E01C9C"/>
    <w:rsid w:val="78EE0B1F"/>
    <w:rsid w:val="79456D75"/>
    <w:rsid w:val="7A313A42"/>
    <w:rsid w:val="7C8C73E8"/>
    <w:rsid w:val="7CA86922"/>
    <w:rsid w:val="7CBB3595"/>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autoRedefine/>
    <w:qFormat/>
    <w:uiPriority w:val="0"/>
    <w:rPr>
      <w:color w:val="0000FF"/>
      <w:u w:val="none"/>
    </w:rPr>
  </w:style>
  <w:style w:type="paragraph" w:customStyle="1" w:styleId="7">
    <w:name w:val="Other|1"/>
    <w:basedOn w:val="1"/>
    <w:autoRedefine/>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2653</Words>
  <Characters>2964</Characters>
  <Lines>0</Lines>
  <Paragraphs>0</Paragraphs>
  <TotalTime>2</TotalTime>
  <ScaleCrop>false</ScaleCrop>
  <LinksUpToDate>false</LinksUpToDate>
  <CharactersWithSpaces>3352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2025-07-21T09:41:00Z</cp:lastPrinted>
  <dcterms:modified xsi:type="dcterms:W3CDTF">2025-07-29T04:21:07Z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