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20" w:lineRule="exact"/>
        <w:ind w:left="0" w:right="0" w:firstLine="0" w:firstLineChars="0"/>
        <w:jc w:val="center"/>
        <w:outlineLvl w:val="0"/>
        <w:rPr>
          <w:rFonts w:hint="eastAsia" w:ascii="方正小标宋简体" w:hAnsi="方正小标宋简体" w:eastAsia="方正小标宋简体" w:cs="方正小标宋简体"/>
          <w:spacing w:val="0"/>
          <w:sz w:val="44"/>
          <w:szCs w:val="44"/>
        </w:rPr>
      </w:pPr>
      <w:bookmarkStart w:id="0" w:name="_Toc76683363"/>
      <w:bookmarkStart w:id="1" w:name="_Toc27865"/>
      <w:r>
        <w:rPr>
          <w:rFonts w:hint="eastAsia" w:ascii="方正小标宋简体" w:hAnsi="方正小标宋简体" w:eastAsia="方正小标宋简体" w:cs="方正小标宋简体"/>
          <w:spacing w:val="0"/>
          <w:sz w:val="44"/>
          <w:szCs w:val="44"/>
          <w:u w:val="none" w:color="auto"/>
          <w:lang w:eastAsia="zh-CN"/>
        </w:rPr>
        <w:t>乌苏市</w:t>
      </w:r>
      <w:r>
        <w:rPr>
          <w:rFonts w:hint="eastAsia" w:ascii="方正小标宋简体" w:hAnsi="方正小标宋简体" w:eastAsia="方正小标宋简体" w:cs="方正小标宋简体"/>
          <w:bCs/>
          <w:spacing w:val="0"/>
          <w:sz w:val="44"/>
          <w:szCs w:val="44"/>
        </w:rPr>
        <w:t>市场监督管理局</w:t>
      </w:r>
      <w:bookmarkEnd w:id="0"/>
      <w:bookmarkEnd w:id="1"/>
    </w:p>
    <w:p>
      <w:pPr>
        <w:keepNext w:val="0"/>
        <w:keepLines w:val="0"/>
        <w:pageBreakBefore w:val="0"/>
        <w:kinsoku/>
        <w:wordWrap/>
        <w:overflowPunct/>
        <w:topLinePunct w:val="0"/>
        <w:bidi w:val="0"/>
        <w:spacing w:line="520" w:lineRule="exact"/>
        <w:ind w:left="0" w:right="0" w:firstLine="0" w:firstLineChars="0"/>
        <w:jc w:val="center"/>
        <w:outlineLvl w:val="0"/>
        <w:rPr>
          <w:rFonts w:ascii="Times New Roman" w:hAnsi="Times New Roman" w:eastAsia="方正小标宋简体" w:cs="Mongolian Baiti"/>
          <w:bCs/>
          <w:color w:val="000000"/>
          <w:spacing w:val="0"/>
          <w:sz w:val="44"/>
          <w:szCs w:val="44"/>
        </w:rPr>
      </w:pPr>
      <w:bookmarkStart w:id="2" w:name="_Toc76683364"/>
      <w:r>
        <w:rPr>
          <w:rFonts w:ascii="Times New Roman" w:hAnsi="Mongolian Baiti" w:eastAsia="方正小标宋简体" w:cs="Mongolian Baiti"/>
          <w:bCs/>
          <w:color w:val="000000"/>
          <w:spacing w:val="0"/>
          <w:sz w:val="44"/>
          <w:szCs w:val="44"/>
        </w:rPr>
        <w:t>行政处罚决定书</w:t>
      </w:r>
      <w:bookmarkEnd w:id="2"/>
    </w:p>
    <w:p>
      <w:pPr>
        <w:keepNext w:val="0"/>
        <w:keepLines w:val="0"/>
        <w:pageBreakBefore w:val="0"/>
        <w:widowControl/>
        <w:kinsoku/>
        <w:wordWrap/>
        <w:overflowPunct/>
        <w:topLinePunct w:val="0"/>
        <w:bidi w:val="0"/>
        <w:snapToGrid w:val="0"/>
        <w:spacing w:line="520" w:lineRule="exact"/>
        <w:ind w:left="0" w:right="0" w:firstLine="0" w:firstLineChars="0"/>
        <w:jc w:val="center"/>
        <w:outlineLvl w:val="1"/>
        <w:rPr>
          <w:rFonts w:hint="eastAsia" w:ascii="Times New Roman" w:hAnsi="仿宋_GB2312" w:eastAsia="仿宋_GB2312" w:cs="仿宋_GB2312"/>
          <w:bCs/>
          <w:color w:val="000000"/>
          <w:spacing w:val="0"/>
          <w:sz w:val="32"/>
          <w:szCs w:val="32"/>
        </w:rPr>
      </w:pPr>
      <w:r>
        <w:rPr>
          <w:rFonts w:hint="eastAsia" w:ascii="Times New Roman" w:hAnsi="Times New Roman" w:eastAsia="仿宋_GB2312" w:cs="仿宋_GB2312"/>
          <w:bCs/>
          <w:color w:val="000000"/>
          <w:spacing w:val="0"/>
          <w:sz w:val="32"/>
          <w:szCs w:val="32"/>
          <w:u w:val="none"/>
          <w:lang w:val="en-US" w:eastAsia="zh-CN"/>
        </w:rPr>
        <w:t>塔</w:t>
      </w:r>
      <w:r>
        <w:rPr>
          <w:rFonts w:hint="eastAsia" w:ascii="Times New Roman" w:hAnsi="Times New Roman" w:eastAsia="仿宋_GB2312" w:cs="仿宋_GB2312"/>
          <w:bCs/>
          <w:color w:val="000000"/>
          <w:spacing w:val="0"/>
          <w:sz w:val="32"/>
          <w:szCs w:val="32"/>
          <w:u w:val="none"/>
          <w:lang w:eastAsia="zh-CN"/>
        </w:rPr>
        <w:t>乌</w:t>
      </w:r>
      <w:r>
        <w:rPr>
          <w:rFonts w:hint="eastAsia" w:ascii="Times New Roman" w:hAnsi="仿宋_GB2312" w:eastAsia="仿宋_GB2312" w:cs="仿宋_GB2312"/>
          <w:bCs/>
          <w:color w:val="000000"/>
          <w:spacing w:val="0"/>
          <w:sz w:val="32"/>
          <w:szCs w:val="32"/>
        </w:rPr>
        <w:t>市监</w:t>
      </w:r>
      <w:r>
        <w:rPr>
          <w:rFonts w:hint="eastAsia" w:ascii="Times New Roman" w:hAnsi="仿宋_GB2312" w:eastAsia="仿宋_GB2312" w:cs="仿宋_GB2312"/>
          <w:bCs/>
          <w:color w:val="000000"/>
          <w:spacing w:val="0"/>
          <w:sz w:val="32"/>
          <w:szCs w:val="32"/>
          <w:lang w:eastAsia="zh-CN"/>
        </w:rPr>
        <w:t>不</w:t>
      </w:r>
      <w:r>
        <w:rPr>
          <w:rFonts w:hint="eastAsia" w:ascii="Times New Roman" w:hAnsi="仿宋_GB2312" w:eastAsia="仿宋_GB2312" w:cs="仿宋_GB2312"/>
          <w:bCs/>
          <w:color w:val="000000"/>
          <w:spacing w:val="0"/>
          <w:sz w:val="32"/>
          <w:szCs w:val="32"/>
        </w:rPr>
        <w:t>罚〔</w:t>
      </w:r>
      <w:r>
        <w:rPr>
          <w:rFonts w:hint="eastAsia" w:ascii="Times New Roman" w:hAnsi="Times New Roman" w:eastAsia="仿宋_GB2312" w:cs="仿宋_GB2312"/>
          <w:bCs/>
          <w:color w:val="000000"/>
          <w:spacing w:val="0"/>
          <w:sz w:val="32"/>
          <w:szCs w:val="32"/>
          <w:u w:val="none"/>
          <w:lang w:val="en-US" w:eastAsia="zh-CN"/>
        </w:rPr>
        <w:t>2025</w:t>
      </w:r>
      <w:r>
        <w:rPr>
          <w:rFonts w:hint="eastAsia" w:ascii="Times New Roman" w:hAnsi="仿宋_GB2312" w:eastAsia="仿宋_GB2312" w:cs="仿宋_GB2312"/>
          <w:bCs/>
          <w:color w:val="000000"/>
          <w:spacing w:val="0"/>
          <w:sz w:val="32"/>
          <w:szCs w:val="32"/>
          <w:u w:val="none"/>
        </w:rPr>
        <w:t>〕</w:t>
      </w:r>
      <w:r>
        <w:rPr>
          <w:rFonts w:hint="eastAsia" w:ascii="Times New Roman" w:hAnsi="Times New Roman" w:eastAsia="仿宋_GB2312" w:cs="仿宋_GB2312"/>
          <w:bCs/>
          <w:color w:val="000000"/>
          <w:spacing w:val="0"/>
          <w:sz w:val="32"/>
          <w:szCs w:val="32"/>
          <w:u w:val="none"/>
          <w:lang w:val="en-US" w:eastAsia="zh-CN"/>
        </w:rPr>
        <w:t>24</w:t>
      </w:r>
      <w:r>
        <w:rPr>
          <w:rFonts w:hint="eastAsia" w:ascii="Times New Roman" w:hAnsi="仿宋_GB2312" w:eastAsia="仿宋_GB2312" w:cs="仿宋_GB2312"/>
          <w:bCs/>
          <w:color w:val="000000"/>
          <w:spacing w:val="0"/>
          <w:sz w:val="32"/>
          <w:szCs w:val="32"/>
          <w:u w:val="none"/>
        </w:rPr>
        <w:t>号</w:t>
      </w:r>
    </w:p>
    <w:p>
      <w:pPr>
        <w:keepNext w:val="0"/>
        <w:keepLines w:val="0"/>
        <w:pageBreakBefore w:val="0"/>
        <w:widowControl/>
        <w:kinsoku/>
        <w:wordWrap/>
        <w:overflowPunct/>
        <w:topLinePunct w:val="0"/>
        <w:bidi w:val="0"/>
        <w:snapToGrid w:val="0"/>
        <w:spacing w:line="520" w:lineRule="exact"/>
        <w:ind w:left="0" w:right="0" w:firstLine="0" w:firstLineChars="0"/>
        <w:jc w:val="both"/>
        <w:rPr>
          <w:rFonts w:hint="eastAsia" w:ascii="Times New Roman" w:hAnsi="Times New Roman" w:eastAsia="仿宋_GB2312" w:cs="Mongolian Baiti"/>
          <w:color w:val="000000"/>
          <w:spacing w:val="0"/>
          <w:sz w:val="32"/>
          <w:szCs w:val="32"/>
        </w:rPr>
      </w:pPr>
      <w:r>
        <w:rPr>
          <w:rFonts w:hint="eastAsia" w:ascii="Times New Roman" w:hAnsi="Times New Roman" w:eastAsia="仿宋_GB2312" w:cs="Mongolian Baiti"/>
          <w:color w:val="000000"/>
          <w:spacing w:val="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p>
    <w:p>
      <w:pPr>
        <w:keepNext w:val="0"/>
        <w:keepLines w:val="0"/>
        <w:pageBreakBefore w:val="0"/>
        <w:widowControl w:val="0"/>
        <w:kinsoku/>
        <w:wordWrap/>
        <w:overflowPunct/>
        <w:topLinePunct w:val="0"/>
        <w:autoSpaceDE/>
        <w:autoSpaceDN/>
        <w:bidi w:val="0"/>
        <w:spacing w:line="520" w:lineRule="exact"/>
        <w:ind w:left="0" w:right="0" w:firstLine="0" w:firstLineChars="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bCs/>
          <w:spacing w:val="0"/>
          <w:sz w:val="32"/>
          <w:szCs w:val="32"/>
          <w:lang w:val="en-US" w:eastAsia="zh-CN"/>
        </w:rPr>
        <w:t>乌苏市轻时轩食品购物超市</w:t>
      </w:r>
    </w:p>
    <w:p>
      <w:pPr>
        <w:keepNext w:val="0"/>
        <w:keepLines w:val="0"/>
        <w:pageBreakBefore w:val="0"/>
        <w:widowControl w:val="0"/>
        <w:kinsoku/>
        <w:wordWrap/>
        <w:overflowPunct/>
        <w:topLinePunct w:val="0"/>
        <w:autoSpaceDE/>
        <w:autoSpaceDN/>
        <w:bidi w:val="0"/>
        <w:spacing w:line="520" w:lineRule="exact"/>
        <w:ind w:left="0" w:right="0" w:firstLine="0" w:firstLineChars="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u w:val="none"/>
          <w:lang w:eastAsia="zh-CN"/>
        </w:rPr>
        <w:t>《营业执照》《</w:t>
      </w:r>
      <w:r>
        <w:rPr>
          <w:rFonts w:hint="eastAsia" w:ascii="仿宋_GB2312" w:hAnsi="仿宋_GB2312" w:eastAsia="仿宋_GB2312" w:cs="仿宋_GB2312"/>
          <w:color w:val="000000"/>
          <w:spacing w:val="0"/>
          <w:sz w:val="32"/>
          <w:szCs w:val="32"/>
        </w:rPr>
        <w:t>食品经营许可证》</w:t>
      </w:r>
    </w:p>
    <w:p>
      <w:pPr>
        <w:keepNext w:val="0"/>
        <w:keepLines w:val="0"/>
        <w:pageBreakBefore w:val="0"/>
        <w:widowControl w:val="0"/>
        <w:kinsoku/>
        <w:wordWrap/>
        <w:overflowPunct/>
        <w:topLinePunct w:val="0"/>
        <w:autoSpaceDE/>
        <w:autoSpaceDN/>
        <w:bidi w:val="0"/>
        <w:spacing w:line="520" w:lineRule="exact"/>
        <w:ind w:left="0" w:right="0" w:firstLine="0" w:firstLineChars="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bCs/>
          <w:spacing w:val="0"/>
          <w:sz w:val="32"/>
          <w:szCs w:val="32"/>
          <w:lang w:val="en-US" w:eastAsia="zh-CN"/>
        </w:rPr>
        <w:t>92654202MAE5B6B628</w:t>
      </w:r>
    </w:p>
    <w:p>
      <w:pPr>
        <w:keepNext w:val="0"/>
        <w:keepLines w:val="0"/>
        <w:pageBreakBefore w:val="0"/>
        <w:widowControl w:val="0"/>
        <w:kinsoku/>
        <w:wordWrap/>
        <w:overflowPunct/>
        <w:topLinePunct w:val="0"/>
        <w:autoSpaceDE/>
        <w:autoSpaceDN/>
        <w:bidi w:val="0"/>
        <w:spacing w:line="520" w:lineRule="exact"/>
        <w:ind w:left="0" w:right="0" w:firstLine="0" w:firstLineChars="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spacing w:val="0"/>
          <w:kern w:val="1"/>
          <w:sz w:val="32"/>
          <w:szCs w:val="32"/>
        </w:rPr>
        <w:t>住址：</w:t>
      </w:r>
      <w:r>
        <w:rPr>
          <w:rFonts w:hint="eastAsia" w:ascii="仿宋_GB2312" w:hAnsi="仿宋_GB2312" w:eastAsia="仿宋_GB2312" w:cs="仿宋_GB2312"/>
          <w:bCs/>
          <w:spacing w:val="0"/>
          <w:sz w:val="32"/>
          <w:szCs w:val="32"/>
          <w:lang w:val="en-US" w:eastAsia="zh-CN"/>
        </w:rPr>
        <w:t>乌苏市新市区街道文林路柳江路51-2号（卓越康城文泽苑小区2楼1层001号商铺）</w:t>
      </w:r>
    </w:p>
    <w:p>
      <w:pPr>
        <w:keepNext w:val="0"/>
        <w:keepLines w:val="0"/>
        <w:pageBreakBefore w:val="0"/>
        <w:widowControl w:val="0"/>
        <w:kinsoku/>
        <w:wordWrap/>
        <w:overflowPunct/>
        <w:topLinePunct w:val="0"/>
        <w:autoSpaceDE/>
        <w:autoSpaceDN/>
        <w:bidi w:val="0"/>
        <w:spacing w:line="520" w:lineRule="exact"/>
        <w:ind w:left="0" w:right="0" w:firstLine="0" w:firstLineChars="0"/>
        <w:jc w:val="both"/>
        <w:textAlignment w:val="auto"/>
        <w:rPr>
          <w:rFonts w:hint="eastAsia" w:ascii="仿宋_GB2312" w:hAnsi="仿宋_GB2312" w:eastAsia="仿宋_GB2312" w:cs="仿宋_GB2312"/>
          <w:bCs/>
          <w:spacing w:val="0"/>
          <w:kern w:val="1"/>
          <w:sz w:val="32"/>
          <w:szCs w:val="32"/>
        </w:rPr>
      </w:pP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bCs/>
          <w:spacing w:val="0"/>
          <w:sz w:val="32"/>
          <w:szCs w:val="32"/>
          <w:lang w:val="en-US" w:eastAsia="zh-CN"/>
        </w:rPr>
        <w:t xml:space="preserve">李*       </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spacing w:val="0"/>
          <w:sz w:val="32"/>
          <w:szCs w:val="32"/>
          <w:lang w:val="en-US" w:eastAsia="zh-CN"/>
        </w:rPr>
        <w:t xml:space="preserve">2025年4月16日，我局执法人员接到12315平台投诉，内容为：“消费者于2025年4月10日在该店以1元/包的价格购买了1包“汇金园”牌辣条，后发现该辣条生产日期：2024.10.21，保质期：150天，已经是过期食品商家仍在销售，本人诉求是依法退赔，希望执法人员及时查处，消除隐患”。执法人员于当日来到乌苏市轻时轩食品购物超市进行核查，发现该超市小食品区销售6包超过保质期的“汇金园”牌辣条，计量方式：散装称重，生产许可证编号：SC10741130200020，生产日期：2024年10月21日，保质期：150天，生产者：南阳汇金食品有限公司，截至2025年4月16日这6包“汇金园”牌辣条已超过保质期26天，该食品与投诉人购买的过期食品属同一批次，经报局领导批准，执法人员现场对当事人销售的已超过保质期的6包“汇金园”牌辣条实施了扣押的行政强制措施（乌市监强制〔2025〕43号）。当事人销售超过保质期食品的行为，涉嫌违反了《中华人民共和国食品安全法》第三十四条第十项的规定，经局领导批准，我局于2025年4月16日立案，并指派巴德玛、宋皓对此案进行调查了解，本案于2025年6月17日调查终结。 </w:t>
      </w:r>
      <w:r>
        <w:rPr>
          <w:rFonts w:hint="eastAsia" w:ascii="仿宋_GB2312" w:hAnsi="仿宋_GB2312" w:eastAsia="仿宋_GB2312" w:cs="仿宋_GB2312"/>
          <w:bCs/>
          <w:spacing w:val="0"/>
          <w:sz w:val="32"/>
          <w:szCs w:val="32"/>
          <w:lang w:eastAsia="zh-CN"/>
        </w:rPr>
        <w:t xml:space="preserve">    </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Cs/>
          <w:spacing w:val="0"/>
          <w:sz w:val="32"/>
          <w:szCs w:val="32"/>
          <w:lang w:val="en-US" w:eastAsia="zh-CN"/>
        </w:rPr>
        <w:t xml:space="preserve">经调查，乌苏市轻时轩食品购物超市于2024年11月25日从胡杨河市金福谷商行以0.75元/包的价格购进“汇金园”牌辣条30包，包装标示生产许可证编号：SC10741130200020，生产日期：2024年10月21日，保质期：150天，共计22.5元，以每包1元的价格销售了24包，其中1包于2025年4月10日销售给投诉人，截至案发时剩余6包在店里销售。因该超市未做销售记录，无法确认“汇金园”牌辣条超过保质期后的销售数量，现只能确认当事人销售给投诉人超过保质期的1包“汇金园”牌辣条，故违法所得为1元（1包×1元/包=1元），货值金额为7元（7包×1元/包=7元）。综上，当事人已构成销售超过保质期食品的违法行为。 </w:t>
      </w:r>
      <w:r>
        <w:rPr>
          <w:rFonts w:hint="eastAsia" w:ascii="仿宋_GB2312" w:hAnsi="仿宋_GB2312" w:eastAsia="仿宋_GB2312" w:cs="仿宋_GB2312"/>
          <w:bCs/>
          <w:spacing w:val="0"/>
          <w:sz w:val="32"/>
          <w:szCs w:val="32"/>
          <w:u w:val="none"/>
          <w:lang w:eastAsia="zh-CN"/>
        </w:rPr>
        <w:t xml:space="preserve">  </w:t>
      </w:r>
      <w:r>
        <w:rPr>
          <w:rFonts w:hint="eastAsia" w:ascii="仿宋_GB2312" w:hAnsi="仿宋_GB2312" w:eastAsia="仿宋_GB2312" w:cs="仿宋_GB2312"/>
          <w:spacing w:val="0"/>
          <w:sz w:val="32"/>
          <w:szCs w:val="32"/>
          <w:u w:val="none"/>
        </w:rPr>
        <w:t xml:space="preserve">   </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20" w:lineRule="exact"/>
        <w:ind w:left="0" w:right="0" w:rightChars="0" w:firstLine="643" w:firstLineChars="200"/>
        <w:jc w:val="both"/>
        <w:textAlignment w:val="auto"/>
        <w:outlineLvl w:val="9"/>
        <w:rPr>
          <w:rFonts w:hint="eastAsia" w:ascii="仿宋_GB2312" w:hAnsi="仿宋_GB2312" w:eastAsia="仿宋_GB2312" w:cs="仿宋_GB2312"/>
          <w:b/>
          <w:bCs w:val="0"/>
          <w:color w:val="000000"/>
          <w:spacing w:val="0"/>
          <w:sz w:val="32"/>
          <w:szCs w:val="32"/>
          <w:u w:val="single"/>
          <w:lang w:val="en-US" w:eastAsia="zh-CN"/>
        </w:rPr>
      </w:pPr>
      <w:r>
        <w:rPr>
          <w:rFonts w:hint="eastAsia" w:ascii="仿宋_GB2312" w:hAnsi="仿宋_GB2312" w:eastAsia="仿宋_GB2312" w:cs="仿宋_GB2312"/>
          <w:b/>
          <w:bCs w:val="0"/>
          <w:color w:val="000000"/>
          <w:spacing w:val="0"/>
          <w:sz w:val="32"/>
          <w:szCs w:val="32"/>
          <w:u w:val="none"/>
          <w:lang w:val="en-US" w:eastAsia="zh-CN"/>
        </w:rPr>
        <w:t>上述事实，主要有以下证据证明：</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2.《食品经营许可证》复印件1份，由当事人提供，证明当事人具有经营食品的合法资格，并在有效期内；                          </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3.身份证复印件1份，由当事人提供，证明当事人身份信息与《营业执照》登记信息相符；</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4.当事人提供的供货商胡杨河市金福谷商行《营业执照》、进货票据复印件各1份，证明当事人履行了进货查验和索证索票的义务；</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5.食品进货查验登记记录复印件1份，由当事人提供，证明当事人履行进货查验和购进涉案“汇金园”牌辣条的日期、数量、进货价格的事实；</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6.现场笔录1份，证明执法人员现场检查时发现当事人销售超过保质期食品“汇金园”牌辣条的生产日期、保质期、数量和实施扣押的情况；                      </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7.询问笔录1份，证明当事人销售已超过保质期食品“汇金园”牌辣条的违法事实以及进货涉案食品的数量、价格及销售数量、价格；</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8.现场拍摄照片1张，证明当事人正常营业中且在经营场所内销售涉案“汇金园”牌辣条的事实；                                              </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9.提取的涉案食品“汇金园”牌辣条正面照片4张，证明当事人销售的“汇金园”牌辣条的保质期及生产日期真实性的事实；</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Cs/>
          <w:spacing w:val="0"/>
          <w:sz w:val="32"/>
          <w:szCs w:val="32"/>
          <w:lang w:val="en-US" w:eastAsia="zh-CN"/>
        </w:rPr>
        <w:t>10.12315平台投诉单1份，证明本案的案件来源；</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2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我局于2025年6月27日依法向当事人送达了《行政处罚告知书》（乌市监告字不罚〔2025〕135号），告知了当事人依法享有陈述、申辩的权利，当事人在法定期限内未提出陈述、申辩，视为放弃此权利。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bCs/>
          <w:spacing w:val="0"/>
          <w:sz w:val="32"/>
          <w:szCs w:val="32"/>
          <w:lang w:val="en-US" w:eastAsia="zh-CN"/>
        </w:rPr>
        <w:t>销售超过保质期食品的</w:t>
      </w:r>
      <w:r>
        <w:rPr>
          <w:rFonts w:hint="eastAsia" w:ascii="仿宋_GB2312" w:hAnsi="仿宋_GB2312" w:eastAsia="仿宋_GB2312" w:cs="仿宋_GB2312"/>
          <w:spacing w:val="0"/>
          <w:sz w:val="32"/>
          <w:szCs w:val="32"/>
        </w:rPr>
        <w:t>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“禁止生产经营下列食品、食品添加剂、食品相关产品：（十）标注虚假生产日期、保质期</w:t>
      </w:r>
      <w:r>
        <w:rPr>
          <w:rFonts w:hint="eastAsia" w:ascii="仿宋_GB2312" w:hAnsi="仿宋_GB2312" w:eastAsia="仿宋_GB2312" w:cs="仿宋_GB2312"/>
          <w:spacing w:val="0"/>
          <w:w w:val="100"/>
          <w:sz w:val="32"/>
          <w:szCs w:val="32"/>
        </w:rPr>
        <w:t>或者超过保质期的食品、食品添加剂；”的规定，属违法行</w:t>
      </w:r>
      <w:r>
        <w:rPr>
          <w:rFonts w:hint="eastAsia" w:ascii="仿宋_GB2312" w:hAnsi="仿宋_GB2312" w:eastAsia="仿宋_GB2312" w:cs="仿宋_GB2312"/>
          <w:spacing w:val="0"/>
          <w:sz w:val="32"/>
          <w:szCs w:val="32"/>
        </w:rPr>
        <w:t xml:space="preserve">为。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u w:val="none" w:color="auto"/>
          <w:lang w:val="en-US" w:eastAsia="zh-CN"/>
        </w:rPr>
        <w:t>鉴于当事人在案件办理过程中态度端正，能够积极配合办案人员调查，如实陈述违法事实；经查询市场主体信用信息公示系统和市场监督行政执法平台，并经当事人确认，系初次违法；履行了食品进货查验记录制度；当事人已通过学习法律法规认识到自身的违法行为并积极改正，已对店内销售的食品进行了检查清理，2025年4月18日，我局执法人员对当事人的经营场所进行复查，对其所经营的食品进行全面检查未发现有过期食品；涉案食品数量较少，货值金额较低；目前没有证据证明当事人的违法行为影响了不特定人的身体健康。</w:t>
      </w:r>
      <w:r>
        <w:rPr>
          <w:rFonts w:hint="eastAsia" w:ascii="仿宋_GB2312" w:hAnsi="仿宋_GB2312" w:eastAsia="仿宋_GB2312" w:cs="仿宋_GB2312"/>
          <w:spacing w:val="0"/>
          <w:kern w:val="1"/>
          <w:sz w:val="32"/>
          <w:szCs w:val="32"/>
          <w:u w:val="none" w:color="auto"/>
          <w:lang w:val="zh-CN" w:eastAsia="zh-CN"/>
        </w:rPr>
        <w:t>当事人的上述情况符合《</w:t>
      </w:r>
      <w:r>
        <w:rPr>
          <w:rFonts w:hint="eastAsia" w:ascii="仿宋_GB2312" w:hAnsi="仿宋_GB2312" w:eastAsia="仿宋_GB2312" w:cs="仿宋_GB2312"/>
          <w:spacing w:val="0"/>
          <w:kern w:val="1"/>
          <w:sz w:val="32"/>
          <w:szCs w:val="32"/>
          <w:u w:val="none" w:color="auto"/>
          <w:lang w:val="en-US" w:eastAsia="zh-CN"/>
        </w:rPr>
        <w:t>市场监管行政违法行为首违不罚清单（一）》“序号5，违法行为类型：经营超过保质期的食品、食品添加剂，免罚条件：1. 初次违法；2. 不包括餐饮环节；3. 能如实说明进货来源；4. 违法货值金额不超过 500 元；5. 未发生食品安全事故或未发生食源性疾病；6、立即自行改正或责令改正期间已改正。”的规定，综合考虑个案情况、当事人主客观情况等相关因素，决定对当事人销售超过保质期食品的行为不予行政处罚。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sz w:val="32"/>
          <w:szCs w:val="32"/>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依据《中华人民共和国行政处罚法》第三十三条第三款“对当事人的违法行为依法不予行政处罚的，行政机关应当对当事人进行教育”的规定，对当事人进行教育。具体内容如下：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2.明确食品经营者对其经营的食品安全负责，保证食品安全，诚信自律，对社会和公众负责，接受</w:t>
      </w:r>
      <w:bookmarkStart w:id="3" w:name="_GoBack"/>
      <w:bookmarkEnd w:id="3"/>
      <w:r>
        <w:rPr>
          <w:rFonts w:hint="eastAsia" w:ascii="仿宋_GB2312" w:hAnsi="仿宋_GB2312" w:eastAsia="仿宋_GB2312" w:cs="仿宋_GB2312"/>
          <w:spacing w:val="0"/>
          <w:sz w:val="32"/>
          <w:szCs w:val="32"/>
          <w:lang w:val="en-US" w:eastAsia="zh-CN"/>
        </w:rPr>
        <w:t>社会监督，承担社会责任。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lang w:val="en-US" w:eastAsia="zh-CN"/>
        </w:rPr>
        <w:t>3.加强对食品的采购、验收、陈列、销售各个环节的规范管理，确保食品安全。</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w:t>
      </w:r>
      <w:r>
        <w:rPr>
          <w:rFonts w:hint="eastAsia" w:ascii="仿宋_GB2312" w:hAnsi="仿宋_GB2312" w:eastAsia="仿宋_GB2312" w:cs="仿宋_GB2312"/>
          <w:spacing w:val="0"/>
          <w:sz w:val="32"/>
          <w:szCs w:val="32"/>
          <w:u w:val="none" w:color="auto"/>
          <w:lang w:val="en-US" w:eastAsia="zh-CN"/>
        </w:rPr>
        <w:t>当事人</w:t>
      </w:r>
      <w:r>
        <w:rPr>
          <w:rFonts w:hint="eastAsia" w:ascii="仿宋_GB2312" w:hAnsi="仿宋_GB2312" w:eastAsia="仿宋_GB2312" w:cs="仿宋_GB2312"/>
          <w:spacing w:val="0"/>
          <w:sz w:val="32"/>
          <w:szCs w:val="32"/>
          <w:u w:val="none" w:color="auto"/>
          <w:lang w:eastAsia="zh-CN"/>
        </w:rPr>
        <w:t>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right="0" w:firstLine="0" w:firstLineChars="0"/>
        <w:jc w:val="both"/>
        <w:textAlignment w:val="auto"/>
        <w:rPr>
          <w:rFonts w:hint="eastAsia" w:ascii="仿宋_GB2312" w:hAnsi="仿宋_GB2312"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0" w:firstLineChars="15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0" w:firstLineChars="0"/>
        <w:jc w:val="both"/>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val="en-US" w:eastAsia="zh-CN"/>
        </w:rPr>
        <w:t xml:space="preserve">                                 2025</w:t>
      </w:r>
      <w:r>
        <w:rPr>
          <w:rFonts w:hint="eastAsia" w:ascii="仿宋_GB2312" w:hAnsi="仿宋_GB2312" w:eastAsia="仿宋_GB2312" w:cs="仿宋_GB2312"/>
          <w:color w:val="000000"/>
          <w:spacing w:val="0"/>
          <w:sz w:val="32"/>
          <w:szCs w:val="32"/>
          <w:lang w:eastAsia="zh-CN"/>
        </w:rPr>
        <w:t>年</w:t>
      </w:r>
      <w:r>
        <w:rPr>
          <w:rFonts w:hint="eastAsia" w:ascii="仿宋_GB2312" w:hAnsi="仿宋_GB2312" w:eastAsia="仿宋_GB2312" w:cs="仿宋_GB2312"/>
          <w:color w:val="000000"/>
          <w:spacing w:val="0"/>
          <w:sz w:val="32"/>
          <w:szCs w:val="32"/>
          <w:lang w:val="en-US" w:eastAsia="zh-CN"/>
        </w:rPr>
        <w:t>7</w:t>
      </w:r>
      <w:r>
        <w:rPr>
          <w:rFonts w:hint="eastAsia" w:ascii="仿宋_GB2312" w:hAnsi="仿宋_GB2312" w:eastAsia="仿宋_GB2312" w:cs="仿宋_GB2312"/>
          <w:color w:val="000000"/>
          <w:spacing w:val="0"/>
          <w:sz w:val="32"/>
          <w:szCs w:val="32"/>
          <w:lang w:eastAsia="zh-CN"/>
        </w:rPr>
        <w:t>月</w:t>
      </w:r>
      <w:r>
        <w:rPr>
          <w:rFonts w:hint="eastAsia" w:ascii="仿宋_GB2312" w:hAnsi="仿宋_GB2312" w:eastAsia="仿宋_GB2312" w:cs="仿宋_GB2312"/>
          <w:color w:val="000000"/>
          <w:spacing w:val="0"/>
          <w:sz w:val="32"/>
          <w:szCs w:val="32"/>
          <w:lang w:val="en-US" w:eastAsia="zh-CN"/>
        </w:rPr>
        <w:t>7</w:t>
      </w:r>
      <w:r>
        <w:rPr>
          <w:rFonts w:hint="eastAsia" w:ascii="仿宋_GB2312" w:hAnsi="仿宋_GB2312" w:eastAsia="仿宋_GB2312" w:cs="仿宋_GB2312"/>
          <w:color w:val="000000"/>
          <w:spacing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0" w:firstLineChars="0"/>
        <w:jc w:val="both"/>
        <w:textAlignment w:val="auto"/>
        <w:rPr>
          <w:rFonts w:hint="eastAsia" w:ascii="仿宋_GB2312" w:hAnsi="Times New Roman" w:eastAsia="仿宋_GB2312" w:cs="仿宋"/>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right="0" w:firstLine="0" w:firstLineChars="0"/>
        <w:jc w:val="both"/>
        <w:textAlignment w:val="auto"/>
        <w:rPr>
          <w:rFonts w:hint="eastAsia" w:ascii="仿宋_GB2312" w:hAnsi="Times New Roman" w:eastAsia="仿宋_GB2312" w:cs="仿宋"/>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right="0" w:firstLine="0" w:firstLineChars="0"/>
        <w:jc w:val="both"/>
        <w:textAlignment w:val="auto"/>
        <w:rPr>
          <w:rFonts w:ascii="仿宋_GB2312" w:hAnsi="仿宋_GB2312" w:eastAsia="仿宋_GB2312" w:cs="仿宋_GB2312"/>
          <w:spacing w:val="0"/>
          <w:sz w:val="32"/>
        </w:rPr>
      </w:pPr>
      <w:r>
        <w:rPr>
          <w:rFonts w:hint="eastAsia" w:ascii="黑体" w:hAnsi="黑体" w:eastAsia="黑体" w:cs="黑体"/>
          <w:spacing w:val="0"/>
          <w:sz w:val="32"/>
        </w:rPr>
        <w:t>（市场监督管理部门将依法向社会公开行政处罚决定信息）</w:t>
      </w:r>
      <w:r>
        <w:rPr>
          <w:rFonts w:hint="eastAsia" w:ascii="仿宋_GB2312" w:hAnsi="仿宋_GB2312" w:eastAsia="仿宋_GB2312" w:cs="仿宋_GB2312"/>
          <w:spacing w:val="0"/>
          <w:kern w:val="2"/>
          <w:sz w:val="32"/>
          <w:szCs w:val="24"/>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20" w:lineRule="exact"/>
        <w:ind w:left="0" w:right="0" w:firstLine="0" w:firstLineChars="0"/>
        <w:jc w:val="both"/>
        <w:textAlignment w:val="auto"/>
        <w:rPr>
          <w:spacing w:val="0"/>
        </w:rPr>
      </w:pPr>
      <w:r>
        <w:rPr>
          <w:rFonts w:hint="eastAsia" w:ascii="仿宋_GB2312" w:hAnsi="仿宋_GB2312" w:eastAsia="仿宋_GB2312" w:cs="仿宋_GB2312"/>
          <w:bCs/>
          <w:color w:val="000000"/>
          <w:spacing w:val="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一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份归档。</w:t>
      </w:r>
      <w:r>
        <w:rPr>
          <w:rFonts w:hint="eastAsia" w:ascii="仿宋_GB2312" w:hAnsi="仿宋_GB2312" w:eastAsia="仿宋_GB2312" w:cs="仿宋_GB2312"/>
          <w:bCs/>
          <w:color w:val="000000"/>
          <w:spacing w:val="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19C8581D"/>
    <w:rsid w:val="03AD7C8E"/>
    <w:rsid w:val="054737CE"/>
    <w:rsid w:val="079C0384"/>
    <w:rsid w:val="08744BDF"/>
    <w:rsid w:val="08B81D6B"/>
    <w:rsid w:val="093C394F"/>
    <w:rsid w:val="098C2285"/>
    <w:rsid w:val="0A445D5E"/>
    <w:rsid w:val="0FAF1102"/>
    <w:rsid w:val="100C48AC"/>
    <w:rsid w:val="108E4BB9"/>
    <w:rsid w:val="10B16332"/>
    <w:rsid w:val="10CF41FE"/>
    <w:rsid w:val="10EF36B3"/>
    <w:rsid w:val="11D87F8D"/>
    <w:rsid w:val="14A06D86"/>
    <w:rsid w:val="14A625C4"/>
    <w:rsid w:val="19464546"/>
    <w:rsid w:val="19C8581D"/>
    <w:rsid w:val="1CAB3B14"/>
    <w:rsid w:val="1F797DF4"/>
    <w:rsid w:val="22DB4AB1"/>
    <w:rsid w:val="235A678A"/>
    <w:rsid w:val="239D347E"/>
    <w:rsid w:val="23A737DF"/>
    <w:rsid w:val="23FA4D3E"/>
    <w:rsid w:val="261D1FBA"/>
    <w:rsid w:val="27E733C6"/>
    <w:rsid w:val="2C1837E7"/>
    <w:rsid w:val="2F890149"/>
    <w:rsid w:val="30074C17"/>
    <w:rsid w:val="312C0EA1"/>
    <w:rsid w:val="313F6598"/>
    <w:rsid w:val="331A11D6"/>
    <w:rsid w:val="35743D23"/>
    <w:rsid w:val="36D13BF1"/>
    <w:rsid w:val="3A00568B"/>
    <w:rsid w:val="3AEB54BA"/>
    <w:rsid w:val="3C371BD0"/>
    <w:rsid w:val="3C9005F2"/>
    <w:rsid w:val="3E5934D6"/>
    <w:rsid w:val="3F6413E1"/>
    <w:rsid w:val="406475D5"/>
    <w:rsid w:val="425F0D40"/>
    <w:rsid w:val="4508505B"/>
    <w:rsid w:val="46A95479"/>
    <w:rsid w:val="46D63624"/>
    <w:rsid w:val="47C8123B"/>
    <w:rsid w:val="487D0836"/>
    <w:rsid w:val="4A332D07"/>
    <w:rsid w:val="4C7B78B7"/>
    <w:rsid w:val="4E0E15E1"/>
    <w:rsid w:val="4E596E78"/>
    <w:rsid w:val="4E6F410B"/>
    <w:rsid w:val="4F1B3040"/>
    <w:rsid w:val="4FE428F7"/>
    <w:rsid w:val="50345982"/>
    <w:rsid w:val="51165E00"/>
    <w:rsid w:val="518E3616"/>
    <w:rsid w:val="51BD002A"/>
    <w:rsid w:val="53243903"/>
    <w:rsid w:val="55012C1C"/>
    <w:rsid w:val="553C65F0"/>
    <w:rsid w:val="55AB262D"/>
    <w:rsid w:val="55E85920"/>
    <w:rsid w:val="563F39D8"/>
    <w:rsid w:val="57A75A04"/>
    <w:rsid w:val="57AD28EF"/>
    <w:rsid w:val="59B57CBC"/>
    <w:rsid w:val="5C78445D"/>
    <w:rsid w:val="5CBE30C2"/>
    <w:rsid w:val="5D3A4FFF"/>
    <w:rsid w:val="6053496E"/>
    <w:rsid w:val="62623873"/>
    <w:rsid w:val="63895A8B"/>
    <w:rsid w:val="64C83B26"/>
    <w:rsid w:val="66926CB8"/>
    <w:rsid w:val="66EE368E"/>
    <w:rsid w:val="6814674D"/>
    <w:rsid w:val="685C6397"/>
    <w:rsid w:val="694E22E1"/>
    <w:rsid w:val="6BFC15B7"/>
    <w:rsid w:val="6D373C2D"/>
    <w:rsid w:val="6DC73E14"/>
    <w:rsid w:val="6DD83B98"/>
    <w:rsid w:val="6F245507"/>
    <w:rsid w:val="6FCE397A"/>
    <w:rsid w:val="70F536CF"/>
    <w:rsid w:val="72AB1036"/>
    <w:rsid w:val="738833AE"/>
    <w:rsid w:val="74521425"/>
    <w:rsid w:val="74BD4884"/>
    <w:rsid w:val="763F235F"/>
    <w:rsid w:val="76B864E6"/>
    <w:rsid w:val="76E01C9C"/>
    <w:rsid w:val="7888497A"/>
    <w:rsid w:val="79F62E87"/>
    <w:rsid w:val="7A0152E0"/>
    <w:rsid w:val="7CC17E78"/>
    <w:rsid w:val="7CC737E6"/>
    <w:rsid w:val="7DBA6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2717</Words>
  <Characters>2892</Characters>
  <Lines>0</Lines>
  <Paragraphs>0</Paragraphs>
  <TotalTime>24</TotalTime>
  <ScaleCrop>false</ScaleCrop>
  <LinksUpToDate>false</LinksUpToDate>
  <CharactersWithSpaces>3240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2025-06-27T04:50:00Z</cp:lastPrinted>
  <dcterms:modified xsi:type="dcterms:W3CDTF">2025-08-25T11:30:20Z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