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20" w:lineRule="exact"/>
        <w:jc w:val="both"/>
        <w:rPr>
          <w:rFonts w:hint="eastAsia" w:ascii="Times New Roman" w:hAnsi="方正小标宋简体" w:eastAsia="方正小标宋简体" w:cs="方正小标宋简体"/>
          <w:bCs/>
          <w:color w:val="000000"/>
          <w:sz w:val="44"/>
          <w:szCs w:val="44"/>
        </w:rPr>
      </w:pPr>
    </w:p>
    <w:p>
      <w:pPr>
        <w:keepNext w:val="0"/>
        <w:keepLines w:val="0"/>
        <w:pageBreakBefore w:val="0"/>
        <w:overflowPunct/>
        <w:topLinePunct w:val="0"/>
        <w:bidi w:val="0"/>
        <w:spacing w:line="52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overflowPunct/>
        <w:topLinePunct w:val="0"/>
        <w:bidi w:val="0"/>
        <w:spacing w:line="520" w:lineRule="exact"/>
        <w:jc w:val="center"/>
        <w:rPr>
          <w:rFonts w:hint="eastAsia" w:ascii="仿宋_GB2312" w:hAnsi="Times New Roman" w:eastAsia="仿宋_GB2312" w:cs="仿宋"/>
          <w:color w:val="000000"/>
          <w:sz w:val="32"/>
          <w:szCs w:val="32"/>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overflowPunct/>
        <w:topLinePunct w:val="0"/>
        <w:bidi w:val="0"/>
        <w:snapToGrid w:val="0"/>
        <w:spacing w:line="520" w:lineRule="exact"/>
        <w:jc w:val="center"/>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Times New Roman" w:eastAsia="仿宋_GB2312" w:cs="仿宋"/>
          <w:color w:val="000000"/>
          <w:sz w:val="32"/>
          <w:szCs w:val="32"/>
          <w:lang w:eastAsia="zh-CN"/>
        </w:rPr>
        <w:t>塔</w:t>
      </w:r>
      <w:r>
        <w:rPr>
          <w:rFonts w:hint="eastAsia" w:ascii="仿宋_GB2312" w:hAnsi="Times New Roman" w:eastAsia="仿宋_GB2312" w:cs="仿宋"/>
          <w:color w:val="000000"/>
          <w:sz w:val="32"/>
          <w:szCs w:val="32"/>
        </w:rPr>
        <w:t>乌市监</w:t>
      </w:r>
      <w:r>
        <w:rPr>
          <w:rFonts w:hint="eastAsia" w:ascii="仿宋_GB2312" w:hAnsi="Times New Roman" w:eastAsia="仿宋_GB2312" w:cs="仿宋"/>
          <w:color w:val="000000"/>
          <w:sz w:val="32"/>
          <w:szCs w:val="32"/>
          <w:lang w:eastAsia="zh-CN"/>
        </w:rPr>
        <w:t>不罚</w:t>
      </w:r>
      <w:r>
        <w:rPr>
          <w:rFonts w:hint="eastAsia" w:ascii="仿宋_GB2312" w:hAnsi="Times New Roman" w:eastAsia="仿宋_GB2312" w:cs="仿宋"/>
          <w:color w:val="000000"/>
          <w:sz w:val="32"/>
          <w:szCs w:val="32"/>
        </w:rPr>
        <w:t>〔202</w:t>
      </w:r>
      <w:r>
        <w:rPr>
          <w:rFonts w:hint="eastAsia" w:ascii="仿宋_GB2312" w:hAnsi="Times New Roman" w:eastAsia="仿宋_GB2312" w:cs="仿宋"/>
          <w:color w:val="000000"/>
          <w:sz w:val="32"/>
          <w:szCs w:val="32"/>
          <w:lang w:val="en-US" w:eastAsia="zh-CN"/>
        </w:rPr>
        <w:t>5</w:t>
      </w:r>
      <w:r>
        <w:rPr>
          <w:rFonts w:hint="eastAsia" w:ascii="仿宋_GB2312" w:hAnsi="Times New Roman" w:eastAsia="仿宋_GB2312" w:cs="仿宋"/>
          <w:color w:val="000000"/>
          <w:sz w:val="32"/>
          <w:szCs w:val="32"/>
        </w:rPr>
        <w:t>〕</w:t>
      </w:r>
      <w:r>
        <w:rPr>
          <w:rFonts w:hint="eastAsia" w:ascii="仿宋_GB2312" w:hAnsi="Times New Roman" w:eastAsia="仿宋_GB2312" w:cs="仿宋"/>
          <w:color w:val="000000"/>
          <w:sz w:val="32"/>
          <w:szCs w:val="32"/>
          <w:lang w:val="en-US" w:eastAsia="zh-CN"/>
        </w:rPr>
        <w:t>30</w:t>
      </w:r>
      <w:r>
        <w:rPr>
          <w:rFonts w:hint="eastAsia" w:ascii="仿宋_GB2312" w:hAnsi="Times New Roman" w:eastAsia="仿宋_GB2312" w:cs="仿宋"/>
          <w:color w:val="000000"/>
          <w:sz w:val="32"/>
          <w:szCs w:val="32"/>
        </w:rPr>
        <w:t>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sz w:val="32"/>
          <w:szCs w:val="32"/>
          <w:lang w:val="en-US" w:eastAsia="zh-CN"/>
        </w:rPr>
        <w:t>乌苏市娄楼商贸有限公司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主体资格证照名称：《营业执照》《</w:t>
      </w:r>
      <w:bookmarkStart w:id="0" w:name="_GoBack"/>
      <w:bookmarkEnd w:id="0"/>
      <w:r>
        <w:rPr>
          <w:rFonts w:hint="eastAsia" w:ascii="仿宋_GB2312" w:hAnsi="仿宋_GB2312" w:eastAsia="仿宋_GB2312" w:cs="仿宋_GB2312"/>
          <w:bCs/>
          <w:sz w:val="32"/>
          <w:szCs w:val="32"/>
          <w:lang w:val="en-US" w:eastAsia="zh-CN"/>
        </w:rPr>
        <w:t xml:space="preserve">食品经营许可证》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w:t>
      </w:r>
      <w:r>
        <w:rPr>
          <w:rFonts w:hint="eastAsia" w:ascii="仿宋_GB2312" w:hAnsi="仿宋_GB2312" w:eastAsia="仿宋_GB2312" w:cs="仿宋_GB2312"/>
          <w:spacing w:val="0"/>
          <w:sz w:val="32"/>
          <w:szCs w:val="32"/>
          <w:lang w:eastAsia="zh-CN"/>
        </w:rPr>
        <w:t>91654202MABT71530G</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bCs/>
          <w:sz w:val="32"/>
          <w:szCs w:val="32"/>
          <w:lang w:val="en-US" w:eastAsia="zh-CN"/>
        </w:rPr>
        <w:t>住所（住址）：</w:t>
      </w:r>
      <w:r>
        <w:rPr>
          <w:rFonts w:hint="eastAsia" w:ascii="仿宋_GB2312" w:hAnsi="仿宋_GB2312" w:eastAsia="仿宋_GB2312" w:cs="仿宋_GB2312"/>
          <w:spacing w:val="0"/>
          <w:sz w:val="32"/>
          <w:szCs w:val="32"/>
          <w:lang w:eastAsia="zh-CN"/>
        </w:rPr>
        <w:t>新疆塔城地区乌苏市南苑街道塔城路社区塔城北路安达倾城321号</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法定代表人：</w:t>
      </w:r>
      <w:r>
        <w:rPr>
          <w:rFonts w:hint="eastAsia" w:ascii="仿宋_GB2312" w:hAnsi="仿宋_GB2312" w:eastAsia="仿宋_GB2312" w:cs="仿宋_GB2312"/>
          <w:sz w:val="32"/>
          <w:szCs w:val="32"/>
          <w:lang w:eastAsia="zh-CN"/>
        </w:rPr>
        <w:t>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2025年6月3日，新疆维吾尔自治区市场监督管理局委托重庆海关技术中心对</w:t>
      </w:r>
      <w:r>
        <w:rPr>
          <w:rFonts w:hint="eastAsia" w:ascii="仿宋_GB2312" w:hAnsi="仿宋_GB2312" w:eastAsia="仿宋_GB2312" w:cs="仿宋_GB2312"/>
          <w:sz w:val="32"/>
          <w:szCs w:val="32"/>
          <w:lang w:val="en-US" w:eastAsia="zh-CN"/>
        </w:rPr>
        <w:t>乌苏市娄楼商贸有限公司</w:t>
      </w:r>
      <w:r>
        <w:rPr>
          <w:rFonts w:hint="eastAsia" w:ascii="仿宋_GB2312" w:hAnsi="仿宋_GB2312" w:eastAsia="仿宋_GB2312" w:cs="仿宋_GB2312"/>
          <w:bCs/>
          <w:sz w:val="32"/>
          <w:szCs w:val="32"/>
          <w:lang w:val="en-US" w:eastAsia="zh-CN"/>
        </w:rPr>
        <w:t>销售的彩色辣椒（甜椒）进行了抽检。2025年7月1日，我局收到重庆海关技术中心出具的抽检检验报告（编号为：NO:4425003834），该批彩色辣椒（甜椒）的检验结论为：“经抽样检验，噻虫胺项目不符合GB 2763-2021《食品安全国家标准食品中农药最大残留限量》要求，检验结论为不合格”。执法人员于当日向当事人送达了《食品安全抽样检验结果通知书》及《检验报告》，经现场检查上述批次的彩色辣椒（甜椒）已销售完毕，当事人在法定期限内未提出书面复检申请。当事人的上述行为涉嫌违反了《食用农产品市场销售质量安全监督管理办法》第十五条第一款和《中华人民共和国食品安全法》第三十四条第二项的规定，为进一步了解情况，经报局领导批准，于2025年7月4日立案，并指派祖木拉提、马国勇对此案进行调查了解。本案已于2025年7月11日调查终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经查，2025年5月7日，乌苏市娄楼物流配送有限公司从青州鸿荣农业发展有限公司以72.14元/箱的价格购进彩色辣椒后分流到该公司1箱（6.8公斤），折扣进货价为10.6元/公斤，销售价为11.9元/公斤。2025年6月3日，在新疆维吾尔自治区组织的食品安全监督抽样抽检工作中，委托重庆海关技术中心对乌苏市娄楼商贸有限公司销售的彩色辣椒（甜椒）进行了抽检，该批彩色辣椒（甜椒）抽样数量（含备样）为6.35kg。2025年7月1日，我局收到重庆海关技术中心出具的《检验报告》（编号为NO:4425003834）及食品安全抽检检验结果通知书（4425003834）、食品安全抽样检验复检和异议须知、食品安全抽样检验告知书，经检验上述彩色辣椒（甜椒）检验结论为不合格，执法人员于当日向当事人送达，当事人对检验结果未提出异议并签字确认。经执法人员对当事人经营场所进行检查，该批次彩色辣椒（甜椒）已于2025年6月3日全部销售完毕。当事人现场提供了该批次彩色辣椒（甜椒）的进货票据、检测合格证（编号为：NO：A0118310）、供货商的营业执照、进货查验记录等相关证明文件。该批不合格彩色辣椒（甜椒）的货值金额为：80.92元（11.9元/公斤×6.8公斤=80.92元）。</w:t>
      </w:r>
      <w:r>
        <w:rPr>
          <w:rFonts w:hint="eastAsia" w:ascii="仿宋_GB2312" w:hAnsi="仿宋_GB2312" w:eastAsia="仿宋_GB2312" w:cs="仿宋_GB2312"/>
          <w:bCs/>
          <w:sz w:val="32"/>
          <w:szCs w:val="32"/>
          <w:lang w:val="zh-CN" w:eastAsia="zh-CN"/>
        </w:rPr>
        <w:t xml:space="preserve">  </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1.营业执照复印件一份，由当事人提供，证明当事人经营主体资格及经营范围；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lang w:val="en-US" w:eastAsia="zh-CN"/>
        </w:rPr>
        <w:t xml:space="preserve">2.食品经营许可证复印件一份，由当事人提供，证明当事人具有食品经营的合法资格，并在有效期内；  </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3.该公司法定代表人身份证复印件</w:t>
      </w:r>
      <w:r>
        <w:rPr>
          <w:rFonts w:hint="eastAsia" w:ascii="仿宋_GB2312" w:hAnsi="仿宋_GB2312" w:eastAsia="仿宋_GB2312" w:cs="仿宋_GB2312"/>
          <w:snapToGrid w:val="0"/>
          <w:color w:val="000000"/>
          <w:spacing w:val="0"/>
          <w:w w:val="100"/>
          <w:kern w:val="0"/>
          <w:sz w:val="32"/>
          <w:szCs w:val="32"/>
          <w:lang w:val="en-US" w:eastAsia="zh-CN"/>
        </w:rPr>
        <w:t>一份</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snapToGrid w:val="0"/>
          <w:color w:val="000000"/>
          <w:spacing w:val="0"/>
          <w:w w:val="100"/>
          <w:kern w:val="0"/>
          <w:sz w:val="32"/>
          <w:szCs w:val="32"/>
          <w:lang w:val="en-US" w:eastAsia="zh-CN"/>
        </w:rPr>
        <w:t>受委托人身份证复印件一份</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snapToGrid w:val="0"/>
          <w:color w:val="000000"/>
          <w:spacing w:val="0"/>
          <w:w w:val="100"/>
          <w:kern w:val="0"/>
          <w:sz w:val="32"/>
          <w:szCs w:val="32"/>
          <w:lang w:val="en-US" w:eastAsia="zh-CN"/>
        </w:rPr>
        <w:t>授权委托书一份，</w:t>
      </w:r>
      <w:r>
        <w:rPr>
          <w:rFonts w:hint="eastAsia" w:ascii="仿宋_GB2312" w:hAnsi="仿宋_GB2312" w:eastAsia="仿宋_GB2312" w:cs="仿宋_GB2312"/>
          <w:bCs/>
          <w:sz w:val="32"/>
          <w:szCs w:val="32"/>
          <w:lang w:val="en-US" w:eastAsia="zh-CN"/>
        </w:rPr>
        <w:t>由当事人提供，证明该公司法定代表人身份信息与营业执照登记的信息相符，</w:t>
      </w:r>
      <w:r>
        <w:rPr>
          <w:rFonts w:hint="eastAsia" w:ascii="仿宋_GB2312" w:hAnsi="仿宋_GB2312" w:eastAsia="仿宋_GB2312" w:cs="仿宋_GB2312"/>
          <w:snapToGrid w:val="0"/>
          <w:color w:val="000000"/>
          <w:spacing w:val="0"/>
          <w:w w:val="100"/>
          <w:kern w:val="0"/>
          <w:sz w:val="32"/>
          <w:szCs w:val="32"/>
          <w:lang w:val="en-US" w:eastAsia="zh-CN"/>
        </w:rPr>
        <w:t>证明委托人、受委托人的身份信息及委托事项、权限、期限；</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4.重庆海关技术中心</w:t>
      </w:r>
      <w:r>
        <w:rPr>
          <w:rFonts w:hint="eastAsia" w:ascii="仿宋_GB2312" w:hAnsi="仿宋_GB2312" w:eastAsia="仿宋_GB2312" w:cs="仿宋_GB2312"/>
          <w:spacing w:val="0"/>
          <w:sz w:val="32"/>
          <w:szCs w:val="32"/>
          <w:lang w:eastAsia="zh-CN"/>
        </w:rPr>
        <w:t>出具的编号为</w:t>
      </w:r>
      <w:r>
        <w:rPr>
          <w:rFonts w:hint="eastAsia" w:ascii="仿宋_GB2312" w:hAnsi="仿宋_GB2312" w:eastAsia="仿宋_GB2312" w:cs="仿宋_GB2312"/>
          <w:spacing w:val="0"/>
          <w:sz w:val="32"/>
          <w:szCs w:val="32"/>
          <w:lang w:val="en-US" w:eastAsia="zh-CN"/>
        </w:rPr>
        <w:t>NO:4425003834的</w:t>
      </w:r>
      <w:r>
        <w:rPr>
          <w:rFonts w:hint="eastAsia" w:ascii="仿宋_GB2312" w:hAnsi="仿宋_GB2312" w:eastAsia="仿宋_GB2312" w:cs="仿宋_GB2312"/>
          <w:spacing w:val="0"/>
          <w:sz w:val="32"/>
          <w:szCs w:val="32"/>
          <w:lang w:eastAsia="zh-CN"/>
        </w:rPr>
        <w:t>检验报告</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份，食品安全抽检检验结果通知书、食品安全抽样复检和异议须知各</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lang w:eastAsia="zh-CN"/>
        </w:rPr>
        <w:t>份，</w:t>
      </w:r>
      <w:r>
        <w:rPr>
          <w:rFonts w:hint="eastAsia" w:ascii="仿宋_GB2312" w:hAnsi="仿宋_GB2312" w:eastAsia="仿宋_GB2312" w:cs="仿宋_GB2312"/>
          <w:spacing w:val="0"/>
          <w:sz w:val="32"/>
          <w:szCs w:val="32"/>
          <w:lang w:val="en-US" w:eastAsia="zh-CN"/>
        </w:rPr>
        <w:t>证明当事人经营的涉案</w:t>
      </w:r>
      <w:r>
        <w:rPr>
          <w:rFonts w:hint="eastAsia" w:ascii="仿宋_GB2312" w:hAnsi="仿宋_GB2312" w:eastAsia="仿宋_GB2312" w:cs="仿宋_GB2312"/>
          <w:bCs/>
          <w:sz w:val="32"/>
          <w:szCs w:val="32"/>
          <w:lang w:val="en-US" w:eastAsia="zh-CN"/>
        </w:rPr>
        <w:t>彩色辣椒（甜椒）</w:t>
      </w:r>
      <w:r>
        <w:rPr>
          <w:rFonts w:hint="eastAsia" w:ascii="仿宋_GB2312" w:hAnsi="仿宋_GB2312" w:eastAsia="仿宋_GB2312" w:cs="仿宋_GB2312"/>
          <w:spacing w:val="0"/>
          <w:sz w:val="32"/>
          <w:szCs w:val="32"/>
          <w:lang w:val="en-US" w:eastAsia="zh-CN"/>
        </w:rPr>
        <w:t xml:space="preserve">经检验农药残留超过食品安全标准限量的事实；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5.现场笔录1份，证明2025年7月1日我局执法人员向当事人送达抽检批次彩色辣椒（甜椒）《检验报告》的情况以及现场检查该批次彩色辣椒（甜椒）已销售完毕的事实；</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6.询问笔录1份，证明当事人购进抽检批次彩色辣椒（甜椒）的渠道、数量、价格及销售情况和进货查验、索证索票情况；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spacing w:val="0"/>
          <w:sz w:val="32"/>
          <w:szCs w:val="32"/>
          <w:lang w:val="en-US" w:eastAsia="zh-CN"/>
        </w:rPr>
        <w:t xml:space="preserve">7.现场检查拍摄的照片1张、音像视频资料1份，证明执法人员经现场检查发现涉案批次彩色辣椒（甜椒）已销售完毕的事实；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both"/>
        <w:textAlignment w:val="baseline"/>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spacing w:val="0"/>
          <w:sz w:val="32"/>
          <w:szCs w:val="32"/>
          <w:lang w:val="en-US" w:eastAsia="zh-CN"/>
        </w:rPr>
        <w:t xml:space="preserve">8.当事人提供的供货商青州鸿荣农业发展有限公司营业执照、供货票据、涉案彩色辣椒（甜椒）的检测合格证（编号为：NO：A0118310）、进货查验记录相关证明文件资料1份，证明当事人履行了进货查验义务的事实。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本局于2025年8月1日依法向当事人送达了《行政处罚告知书》（塔乌市监告字不罚〔2025〕131号），告知了当事人依法享有陈述、申辩权利，当事人在法定期限内未提出陈述、申辩，视为放弃此权利。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sz w:val="32"/>
          <w:szCs w:val="32"/>
          <w:u w:val="none"/>
          <w:lang w:val="en-US" w:eastAsia="zh-CN"/>
        </w:rPr>
        <w:t>本局认为，当事人的上述行为违反了《食用农产品市场销售质量安全监督管理办法》第十五条第一款：“禁止销售者采购、销售</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"http://172.16.13.11:168/golaw?dbnm=gjfg&amp;flid=1116012021006027" \t "http://172.16.13.11:168/_blank"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食品安全法</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"http://172.16.13.11:168/golaw?dbnm=gjfg&amp;flid=1116012021006027&amp;lknm=%b5%da%c8%fd%ca%ae%cb%c4%cc%f5" \l "law_firsthit" \t "http://172.16.13.11:168/_blank"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第三十四条</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规定情形的食用农产品。”和《中华人民共和国食品安全法》第三十四条第二项：“禁止生产经营下列食品、食品添加剂、食品相关产品：（二）致病性微生物，农药残留、兽药残留、生物毒素、重金属等污染物质以及其他危害人体健康的物质含量超过食品安全标准限量的食品、食品添加剂、食品相关产品；”的规定，属违法行为。</w:t>
      </w:r>
      <w:r>
        <w:rPr>
          <w:rFonts w:hint="eastAsia" w:ascii="仿宋_GB2312" w:hAnsi="仿宋_GB2312" w:eastAsia="仿宋_GB2312" w:cs="仿宋_GB2312"/>
          <w:sz w:val="32"/>
          <w:szCs w:val="32"/>
          <w:u w:val="none"/>
        </w:rPr>
        <w:t xml:space="preserve">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鉴于当事人积极配合案件调查，如实陈述违法事实并主动提供证据材料，所购进的不合格彩色辣椒（甜椒）数量较少，货值金额较低，案发后及时采取整改措施；目前没有证据证明当事人的违法行为影响了不确定人的身体健康，当事人承诺在今后的经营活动中守法经营，且当事人在进货时主动履行了进货查验、索证索票义务，参照市场监管总局《市场监管轻微行政违法行为不予处罚清单（一）》“序号1：违法行为类型：经营不符合食品安全标准的食用农产品；处罚依据：《食用农产品市场销售质量安全监督管理办法》第十五条第一款。免罚条件：1.非主观故意、食品不符合食品安全标准不是其造成的；2.能如实说明进货来源；3.未发生食品安全事故或未发生食源性疾病；4.立即自行改正或责令改正期间已改正；5.食品经营者在两年内第三次出现本类型违法行为的，不予免罚。”的规定，当事人具有不予行政处罚的情形。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依据《食用农产品市场销售质量安全监督管理办法》第四十二条：“销售者违反本办法第十五条规定，采购、销售</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"http://172.16.13.11:168/golaw?dbnm=gjfg&amp;flid=1116012021006027" \t "http://172.16.13.11:168/_blank"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食品安全法</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"http://172.16.13.11:168/golaw?dbnm=gjfg&amp;flid=1116012021006027&amp;lknm=%b5%da%c8%fd%ca%ae%cb%c4%cc%f5" \l "law_firsthit" \t "http://172.16.13.11:168/_blank"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第三十四条</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规定情形的食用农产品的，由县级以上市场监督管理部门依照</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"http://172.16.13.11:168/golaw?dbnm=gjfg&amp;flid=1116012021006027" \t "http://172.16.13.11:168/_blank"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val="en-US" w:eastAsia="zh-CN"/>
        </w:rPr>
        <w:t>食品安全法</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 xml:space="preserve">有关规定给予处罚。”和《中华人民共和国食品安全法》第一百二十四条第一款第一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及《中华人民共和国行政处罚法》第三十三条第二款：“当事人有证据足以证明没有主观过错的，不予行政处罚。法律、行政法规另有规定的，从其规定。”的规定，责令当事人改正违法经营行为，决定对当事人不予行政处罚。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依据《中华人民共和国行政处罚法》第三十三条第三款：“ 对当事人的违法行为依法不予行政处罚的，行政机关应当对当事人进行教育。”的规定，对当事人进行教育，具体内容如下：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right="0" w:firstLine="640" w:firstLineChars="20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1.加强对《食用农产品市场销售质量安全监督管理办法》和《中华人民共和国食品安全法》等相关法律法规的学习，增强食品安全意识，切实保障消费者的合法权益；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2.要求经营者落实经营主体责任，认真履行各项法律法规规定，合法合规经营。                                                                                                             </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right="0" w:firstLine="640" w:firstLineChars="2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u w:val="none"/>
          <w:lang w:val="en-US" w:eastAsia="zh-CN"/>
        </w:rPr>
        <w:t>如不服本行政处罚决定，可以在收到本行政处罚决定书之日起六十日内向乌苏市人民政府（地址：乌苏市新市区长江路139号财政大楼三楼行政复议办公室）申请行政复议；也可以在15日内依法向乌苏市人民法院（地址：乌苏市新市区长江路140号）提起行政诉讼。申请行政复议或者提起行政诉讼期间，行政处罚不停止执行。</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4160" w:firstLineChars="13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firstLine="4160" w:firstLineChars="13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firstLine="4800" w:firstLineChars="15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2025年8月11日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firstLine="4800" w:firstLineChars="15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firstLine="4800" w:firstLineChars="15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firstLine="4800" w:firstLineChars="15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20" w:lineRule="exact"/>
        <w:ind w:firstLine="4800" w:firstLineChars="15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ind w:right="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20" w:lineRule="exact"/>
        <w:ind w:right="0"/>
        <w:jc w:val="center"/>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non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pgSz w:w="11906" w:h="16838"/>
      <w:pgMar w:top="1047" w:right="1576"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32CD00D9"/>
    <w:rsid w:val="000A3EFE"/>
    <w:rsid w:val="000B5C99"/>
    <w:rsid w:val="00150571"/>
    <w:rsid w:val="001B412B"/>
    <w:rsid w:val="001D49C4"/>
    <w:rsid w:val="00241E91"/>
    <w:rsid w:val="00244A79"/>
    <w:rsid w:val="00346D99"/>
    <w:rsid w:val="003F1B4B"/>
    <w:rsid w:val="004A6D06"/>
    <w:rsid w:val="00521B76"/>
    <w:rsid w:val="00545088"/>
    <w:rsid w:val="00595284"/>
    <w:rsid w:val="00636A9D"/>
    <w:rsid w:val="008F3A9B"/>
    <w:rsid w:val="009635E0"/>
    <w:rsid w:val="00B10CFE"/>
    <w:rsid w:val="00B15A74"/>
    <w:rsid w:val="00D55A7B"/>
    <w:rsid w:val="00D923F2"/>
    <w:rsid w:val="01506022"/>
    <w:rsid w:val="01946949"/>
    <w:rsid w:val="02DF0AF7"/>
    <w:rsid w:val="039C714B"/>
    <w:rsid w:val="05B40A0D"/>
    <w:rsid w:val="06666CC1"/>
    <w:rsid w:val="07893A9C"/>
    <w:rsid w:val="07C17901"/>
    <w:rsid w:val="08467F84"/>
    <w:rsid w:val="09553EBE"/>
    <w:rsid w:val="09555702"/>
    <w:rsid w:val="09E12ECE"/>
    <w:rsid w:val="0A857C32"/>
    <w:rsid w:val="0AE20D33"/>
    <w:rsid w:val="0BAE57F9"/>
    <w:rsid w:val="0C9814B6"/>
    <w:rsid w:val="0DAF4501"/>
    <w:rsid w:val="0EF35317"/>
    <w:rsid w:val="0F0622B9"/>
    <w:rsid w:val="0F483FB8"/>
    <w:rsid w:val="100938F5"/>
    <w:rsid w:val="10A14B4C"/>
    <w:rsid w:val="11A05E8A"/>
    <w:rsid w:val="11EA1AF8"/>
    <w:rsid w:val="121E6BA8"/>
    <w:rsid w:val="1423567C"/>
    <w:rsid w:val="152E47B4"/>
    <w:rsid w:val="16204E16"/>
    <w:rsid w:val="16585A70"/>
    <w:rsid w:val="16693963"/>
    <w:rsid w:val="17C7216D"/>
    <w:rsid w:val="1818219B"/>
    <w:rsid w:val="1A7044EC"/>
    <w:rsid w:val="1F0F621C"/>
    <w:rsid w:val="1F686C20"/>
    <w:rsid w:val="1F7A0C54"/>
    <w:rsid w:val="1FCE3F67"/>
    <w:rsid w:val="20D665F5"/>
    <w:rsid w:val="20FD69C2"/>
    <w:rsid w:val="210877A3"/>
    <w:rsid w:val="22584E48"/>
    <w:rsid w:val="24C90DA8"/>
    <w:rsid w:val="24C91C34"/>
    <w:rsid w:val="25F47988"/>
    <w:rsid w:val="28BB338D"/>
    <w:rsid w:val="28C11895"/>
    <w:rsid w:val="292E7A15"/>
    <w:rsid w:val="2A610FB8"/>
    <w:rsid w:val="2AB74CA4"/>
    <w:rsid w:val="2B531CF4"/>
    <w:rsid w:val="2B923FF4"/>
    <w:rsid w:val="2DF55F8C"/>
    <w:rsid w:val="2E000774"/>
    <w:rsid w:val="2EA90D14"/>
    <w:rsid w:val="2ED44E3C"/>
    <w:rsid w:val="30096F28"/>
    <w:rsid w:val="32CD00D9"/>
    <w:rsid w:val="331A413C"/>
    <w:rsid w:val="33616383"/>
    <w:rsid w:val="34073DEB"/>
    <w:rsid w:val="3520706F"/>
    <w:rsid w:val="354A77D2"/>
    <w:rsid w:val="36F9315C"/>
    <w:rsid w:val="382D2AFA"/>
    <w:rsid w:val="3A134DE3"/>
    <w:rsid w:val="3A5D2691"/>
    <w:rsid w:val="3AF876D6"/>
    <w:rsid w:val="3D983A41"/>
    <w:rsid w:val="3DA61F21"/>
    <w:rsid w:val="3F9F7741"/>
    <w:rsid w:val="40697227"/>
    <w:rsid w:val="4116085D"/>
    <w:rsid w:val="429C17F4"/>
    <w:rsid w:val="42E10939"/>
    <w:rsid w:val="43603BFF"/>
    <w:rsid w:val="455508C5"/>
    <w:rsid w:val="45AC4FDE"/>
    <w:rsid w:val="46721FA3"/>
    <w:rsid w:val="4675725E"/>
    <w:rsid w:val="468A35FB"/>
    <w:rsid w:val="476E4ED2"/>
    <w:rsid w:val="47735191"/>
    <w:rsid w:val="477928DC"/>
    <w:rsid w:val="47A70673"/>
    <w:rsid w:val="48E20AA3"/>
    <w:rsid w:val="4A79519E"/>
    <w:rsid w:val="4AC409CE"/>
    <w:rsid w:val="4AFE17EB"/>
    <w:rsid w:val="4B765F33"/>
    <w:rsid w:val="4C417F01"/>
    <w:rsid w:val="4CC7039B"/>
    <w:rsid w:val="4CEA34F6"/>
    <w:rsid w:val="4DED332E"/>
    <w:rsid w:val="4E3E3DDD"/>
    <w:rsid w:val="4EE74D90"/>
    <w:rsid w:val="50AB62EC"/>
    <w:rsid w:val="50DD53D1"/>
    <w:rsid w:val="51C2097F"/>
    <w:rsid w:val="5266383D"/>
    <w:rsid w:val="53502AF7"/>
    <w:rsid w:val="53944067"/>
    <w:rsid w:val="53980DD9"/>
    <w:rsid w:val="53B77911"/>
    <w:rsid w:val="542824EB"/>
    <w:rsid w:val="543768EC"/>
    <w:rsid w:val="54907871"/>
    <w:rsid w:val="558E4ED8"/>
    <w:rsid w:val="56DB13A2"/>
    <w:rsid w:val="56E20B19"/>
    <w:rsid w:val="5AA13D22"/>
    <w:rsid w:val="5AEC7C6E"/>
    <w:rsid w:val="5B0D79C9"/>
    <w:rsid w:val="5C1A7537"/>
    <w:rsid w:val="5D58253C"/>
    <w:rsid w:val="5EC13EED"/>
    <w:rsid w:val="5EEF586D"/>
    <w:rsid w:val="60230661"/>
    <w:rsid w:val="605204FF"/>
    <w:rsid w:val="63171ECD"/>
    <w:rsid w:val="63AB24FA"/>
    <w:rsid w:val="64684F43"/>
    <w:rsid w:val="65346325"/>
    <w:rsid w:val="65E60C7A"/>
    <w:rsid w:val="65EE7762"/>
    <w:rsid w:val="697961B6"/>
    <w:rsid w:val="699855F2"/>
    <w:rsid w:val="69A654DD"/>
    <w:rsid w:val="69A70EE8"/>
    <w:rsid w:val="69DE2D7C"/>
    <w:rsid w:val="6A5674CD"/>
    <w:rsid w:val="6A6B35A6"/>
    <w:rsid w:val="6AFBDE4C"/>
    <w:rsid w:val="6B92518A"/>
    <w:rsid w:val="6BAC37B5"/>
    <w:rsid w:val="6BEE6DF7"/>
    <w:rsid w:val="6D522208"/>
    <w:rsid w:val="6E1D1CE3"/>
    <w:rsid w:val="6F1D0E0D"/>
    <w:rsid w:val="6F9C4A3E"/>
    <w:rsid w:val="6FDE641B"/>
    <w:rsid w:val="706D17CA"/>
    <w:rsid w:val="70A806ED"/>
    <w:rsid w:val="70EB650A"/>
    <w:rsid w:val="714E38F1"/>
    <w:rsid w:val="71C54FAD"/>
    <w:rsid w:val="725270DA"/>
    <w:rsid w:val="74651AA8"/>
    <w:rsid w:val="74A97CCB"/>
    <w:rsid w:val="75FC0202"/>
    <w:rsid w:val="77362928"/>
    <w:rsid w:val="77C45C0E"/>
    <w:rsid w:val="787E1660"/>
    <w:rsid w:val="78B8337F"/>
    <w:rsid w:val="79151323"/>
    <w:rsid w:val="79D02ECD"/>
    <w:rsid w:val="7BBA292E"/>
    <w:rsid w:val="7C471F46"/>
    <w:rsid w:val="7C595143"/>
    <w:rsid w:val="7D313C56"/>
    <w:rsid w:val="D5F981B8"/>
    <w:rsid w:val="DBC6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9">
    <w:name w:val="页眉 Char"/>
    <w:basedOn w:val="7"/>
    <w:link w:val="4"/>
    <w:qFormat/>
    <w:uiPriority w:val="0"/>
    <w:rPr>
      <w:rFonts w:ascii="Calibri" w:hAnsi="Calibri" w:eastAsia="宋体"/>
      <w:kern w:val="2"/>
      <w:sz w:val="18"/>
      <w:szCs w:val="18"/>
    </w:rPr>
  </w:style>
  <w:style w:type="character" w:customStyle="1" w:styleId="10">
    <w:name w:val="页脚 Char"/>
    <w:basedOn w:val="7"/>
    <w:link w:val="3"/>
    <w:qFormat/>
    <w:uiPriority w:val="0"/>
    <w:rPr>
      <w:rFonts w:ascii="Calibri" w:hAnsi="Calibri" w:eastAsia="宋体"/>
      <w:kern w:val="2"/>
      <w:sz w:val="18"/>
      <w:szCs w:val="18"/>
    </w:rPr>
  </w:style>
  <w:style w:type="character" w:customStyle="1" w:styleId="11">
    <w:name w:val="批注框文本 Char"/>
    <w:basedOn w:val="7"/>
    <w:link w:val="2"/>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3069</Words>
  <Characters>3271</Characters>
  <Lines>7</Lines>
  <Paragraphs>7</Paragraphs>
  <TotalTime>15</TotalTime>
  <ScaleCrop>false</ScaleCrop>
  <LinksUpToDate>false</LinksUpToDate>
  <CharactersWithSpaces>3776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2020-04-17T19:00:00Z</dcterms:created>
  <dc:creator>lenovo</dc:creator>
  <cp:lastModifiedBy>喜文</cp:lastModifiedBy>
  <cp:lastPrinted>2025-08-12T10:24:00Z</cp:lastPrinted>
  <dcterms:modified xsi:type="dcterms:W3CDTF">2025-08-26T03:56:35Z</dcterms:modified>
  <dc:title>乌苏市市场监督管理局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EEEE3B370DC9402AA93F35D13E210B2F</vt:lpwstr>
  </property>
  <property fmtid="{D5CDD505-2E9C-101B-9397-08002B2CF9AE}" pid="4" name="KSOTemplateDocerSaveRecord">
    <vt:lpwstr>eyJoZGlkIjoiMjhjYjA5MTE5ZDA4NTVkMjc4ZGUyZjQzZWU4NWQ2Y2YiLCJ1c2VySWQiOiI5NTE2MTA2NTAifQ==</vt:lpwstr>
  </property>
</Properties>
</file>