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firstLine="0" w:firstLineChars="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firstLine="0" w:firstLineChars="0"/>
        <w:jc w:val="center"/>
        <w:rPr>
          <w:rFonts w:ascii="Times New Roman" w:hAnsi="Mongolian Baiti"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center"/>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塔乌市监处罚</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136</w:t>
      </w:r>
      <w:r>
        <w:rPr>
          <w:rFonts w:hint="eastAsia" w:ascii="Times New Roman" w:hAnsi="仿宋_GB2312" w:eastAsia="仿宋_GB2312" w:cs="仿宋_GB2312"/>
          <w:bCs/>
          <w:color w:val="000000"/>
          <w:sz w:val="32"/>
          <w:szCs w:val="32"/>
          <w:u w:val="none"/>
        </w:rPr>
        <w:t>号</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Times New Roman" w:hAnsi="Times New Roman" w:eastAsia="仿宋_GB2312" w:cs="Mongolian Baiti"/>
          <w:bCs/>
          <w:kern w:val="1"/>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pacing w:val="0"/>
          <w:sz w:val="32"/>
          <w:szCs w:val="32"/>
          <w:lang w:val="en-US" w:eastAsia="zh-CN"/>
        </w:rPr>
        <w:t>乌苏聚鑫恒商贸有限公司</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《营业执照》《食品经营许可证》</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rPr>
          <w:rFonts w:hint="eastAsia" w:ascii="仿宋_GB2312" w:hAnsi="仿宋_GB2312" w:eastAsia="仿宋_GB2312" w:cs="仿宋_GB2312"/>
          <w:w w:val="100"/>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bCs/>
          <w:spacing w:val="0"/>
          <w:sz w:val="32"/>
          <w:szCs w:val="32"/>
          <w:lang w:eastAsia="zh-CN"/>
        </w:rPr>
        <w:t>9</w:t>
      </w:r>
      <w:r>
        <w:rPr>
          <w:rFonts w:hint="eastAsia" w:ascii="仿宋_GB2312" w:hAnsi="仿宋_GB2312" w:eastAsia="仿宋_GB2312" w:cs="仿宋_GB2312"/>
          <w:bCs/>
          <w:spacing w:val="0"/>
          <w:sz w:val="32"/>
          <w:szCs w:val="32"/>
          <w:lang w:val="en-US" w:eastAsia="zh-CN"/>
        </w:rPr>
        <w:t>1</w:t>
      </w:r>
      <w:r>
        <w:rPr>
          <w:rFonts w:hint="eastAsia" w:ascii="仿宋_GB2312" w:hAnsi="仿宋_GB2312" w:eastAsia="仿宋_GB2312" w:cs="仿宋_GB2312"/>
          <w:bCs/>
          <w:spacing w:val="0"/>
          <w:sz w:val="32"/>
          <w:szCs w:val="32"/>
          <w:lang w:eastAsia="zh-CN"/>
        </w:rPr>
        <w:t>654202MA</w:t>
      </w:r>
      <w:r>
        <w:rPr>
          <w:rFonts w:hint="eastAsia" w:ascii="仿宋_GB2312" w:hAnsi="仿宋_GB2312" w:eastAsia="仿宋_GB2312" w:cs="仿宋_GB2312"/>
          <w:bCs/>
          <w:spacing w:val="0"/>
          <w:sz w:val="32"/>
          <w:szCs w:val="32"/>
          <w:lang w:val="en-US" w:eastAsia="zh-CN"/>
        </w:rPr>
        <w:t>7819R84P</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eastAsia="zh-CN"/>
        </w:rPr>
        <w:t>住址：</w:t>
      </w:r>
      <w:r>
        <w:rPr>
          <w:rFonts w:hint="eastAsia" w:ascii="仿宋_GB2312" w:hAnsi="仿宋_GB2312" w:eastAsia="仿宋_GB2312" w:cs="仿宋_GB2312"/>
          <w:bCs/>
          <w:spacing w:val="0"/>
          <w:sz w:val="32"/>
          <w:szCs w:val="32"/>
          <w:lang w:eastAsia="zh-CN"/>
        </w:rPr>
        <w:t>新疆塔城地区乌苏市八十四户乡杨家庄子村</w:t>
      </w:r>
      <w:r>
        <w:rPr>
          <w:rFonts w:hint="eastAsia" w:ascii="仿宋_GB2312" w:hAnsi="仿宋_GB2312" w:eastAsia="仿宋_GB2312" w:cs="仿宋_GB2312"/>
          <w:bCs/>
          <w:spacing w:val="0"/>
          <w:sz w:val="32"/>
          <w:szCs w:val="32"/>
          <w:lang w:val="en-US" w:eastAsia="zh-CN"/>
        </w:rPr>
        <w:t>309号（村委会以东800米处）</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lang w:eastAsia="zh-CN"/>
        </w:rPr>
        <w:t>法定代表人</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bCs/>
          <w:spacing w:val="0"/>
          <w:sz w:val="32"/>
          <w:szCs w:val="32"/>
          <w:lang w:eastAsia="zh-CN"/>
        </w:rPr>
        <w:t>张**</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2025年4月27日，我局执法人员根据</w:t>
      </w:r>
      <w:r>
        <w:rPr>
          <w:rFonts w:hint="eastAsia" w:ascii="仿宋_GB2312" w:hAnsi="仿宋_GB2312" w:eastAsia="仿宋_GB2312" w:cs="仿宋_GB2312"/>
          <w:sz w:val="32"/>
          <w:szCs w:val="32"/>
          <w:u w:val="none"/>
          <w:lang w:val="en-US" w:eastAsia="zh-CN"/>
        </w:rPr>
        <w:t>乌苏市娄楼商贸有限公司投诉举报线索及投诉产品的进货票据（销售出库单2024-05-24）信息</w:t>
      </w:r>
      <w:r>
        <w:rPr>
          <w:rFonts w:hint="eastAsia" w:ascii="仿宋_GB2312" w:hAnsi="仿宋_GB2312" w:eastAsia="仿宋_GB2312" w:cs="仿宋_GB2312"/>
          <w:bCs/>
          <w:spacing w:val="0"/>
          <w:sz w:val="32"/>
          <w:szCs w:val="32"/>
          <w:lang w:val="en-US" w:eastAsia="zh-CN"/>
        </w:rPr>
        <w:t>来到位于</w:t>
      </w:r>
      <w:r>
        <w:rPr>
          <w:rFonts w:hint="eastAsia" w:ascii="仿宋_GB2312" w:hAnsi="仿宋_GB2312" w:eastAsia="仿宋_GB2312" w:cs="仿宋_GB2312"/>
          <w:bCs/>
          <w:spacing w:val="0"/>
          <w:sz w:val="32"/>
          <w:szCs w:val="32"/>
          <w:lang w:eastAsia="zh-CN"/>
        </w:rPr>
        <w:t>乌苏市八十四户乡杨家庄子村</w:t>
      </w:r>
      <w:r>
        <w:rPr>
          <w:rFonts w:hint="eastAsia" w:ascii="仿宋_GB2312" w:hAnsi="仿宋_GB2312" w:eastAsia="仿宋_GB2312" w:cs="仿宋_GB2312"/>
          <w:bCs/>
          <w:spacing w:val="0"/>
          <w:sz w:val="32"/>
          <w:szCs w:val="32"/>
          <w:lang w:val="en-US" w:eastAsia="zh-CN"/>
        </w:rPr>
        <w:t>309号（村委会以东800米处）的</w:t>
      </w:r>
      <w:r>
        <w:rPr>
          <w:rFonts w:hint="eastAsia" w:ascii="仿宋_GB2312" w:hAnsi="仿宋_GB2312" w:eastAsia="仿宋_GB2312" w:cs="仿宋_GB2312"/>
          <w:bCs/>
          <w:spacing w:val="0"/>
          <w:sz w:val="32"/>
          <w:szCs w:val="32"/>
          <w:lang w:eastAsia="zh-CN"/>
        </w:rPr>
        <w:t>乌苏聚鑫恒商贸有限公司进行</w:t>
      </w:r>
      <w:r>
        <w:rPr>
          <w:rFonts w:hint="eastAsia" w:ascii="仿宋_GB2312" w:hAnsi="仿宋_GB2312" w:eastAsia="仿宋_GB2312" w:cs="仿宋_GB2312"/>
          <w:bCs/>
          <w:spacing w:val="0"/>
          <w:sz w:val="32"/>
          <w:szCs w:val="32"/>
          <w:lang w:val="en-US" w:eastAsia="zh-CN"/>
        </w:rPr>
        <w:t>核实，该公司正常经营，负责人张**在现场全程配合检查，经张**确认</w:t>
      </w:r>
      <w:r>
        <w:rPr>
          <w:rFonts w:hint="eastAsia" w:ascii="仿宋_GB2312" w:hAnsi="仿宋_GB2312" w:eastAsia="仿宋_GB2312" w:cs="仿宋_GB2312"/>
          <w:sz w:val="32"/>
          <w:szCs w:val="32"/>
          <w:u w:val="none"/>
          <w:lang w:val="en-US" w:eastAsia="zh-CN"/>
        </w:rPr>
        <w:t>乌苏市娄楼商贸有限公司提供的进货票据（销售出库单2024-05-24）是由其公司提供。</w:t>
      </w:r>
      <w:r>
        <w:rPr>
          <w:rFonts w:hint="eastAsia" w:ascii="仿宋_GB2312" w:hAnsi="仿宋_GB2312" w:eastAsia="仿宋_GB2312" w:cs="仿宋_GB2312"/>
          <w:bCs/>
          <w:spacing w:val="0"/>
          <w:sz w:val="32"/>
          <w:szCs w:val="32"/>
          <w:lang w:val="en-US" w:eastAsia="zh-CN"/>
        </w:rPr>
        <w:t>执法人员现场检查发现：①超能彩衣漂净液9瓶，标签标识净含量：600克，执行标准：Q/Nice1110，生产企业：纳爱斯集团有限公司，集团地址：浙江省丽水市上水南3号，限用日期及批号：见瓶身标示，该产品的生产日期标注位置和字体不一致，其中6瓶瓶体底部标注：20241206A1534,3瓶瓶体正面标注：20250218A5471；②妙管家厨房重油污清洁剂4瓶，标签标识净含量660克，执行标准：GB/T35833，制造商：妙管家（苏州）日用品有限公司，地址：江苏省苏州市太仓市岳王镇工业园区，限用日期及批号见包装标示，该产品未标注限用日期及批号；③雕牌彩漂液10瓶，标签标识净含量650克，执行标准：Q/Nice1110，制造商：纳爱斯集团与有限公司，集团地址：浙江省丽水市上水南3号，限用日期及批号见瓶身标示，该产品未标注限用日期及批号；④公道先生84消毒液7瓶，标签标识净含量：500克，执行标准：Q/Nice1156，制造商：纳爱斯集团有限公司，集团地址：浙江省丽水市上水南3号，保质期：2年，限用日期及批号见包装标示，该产品未标注限用日期及批号；⑤卸甲水（已开瓶）1瓶，剩余150ml，标签标识执行标准：QB/T2287，生产日期：2023年7月11日，保质期三年；⑥不明液体2瓶，剩余100ml，经执法人员现场试验，将不明液体和卸甲水喷在商品生产日期处，该商品生产日期的标识会融化消失。执法人员现场提取当事人营业执照发现经营地址与实际地址不相符，营业执照</w:t>
      </w:r>
      <w:r>
        <w:rPr>
          <w:rFonts w:hint="eastAsia" w:ascii="仿宋_GB2312" w:hAnsi="仿宋_GB2312" w:eastAsia="仿宋_GB2312" w:cs="仿宋_GB2312"/>
          <w:bCs/>
          <w:spacing w:val="0"/>
          <w:sz w:val="32"/>
          <w:szCs w:val="32"/>
          <w:lang w:eastAsia="zh-CN"/>
        </w:rPr>
        <w:t>经营地址为新疆塔城地区乌苏市虹桥街道明珠社区乌鲁木齐北路1079号第五间（老妇幼保健院对面），实际经营地址为新疆塔城地区乌苏市八十四户乡杨家庄子村</w:t>
      </w:r>
      <w:r>
        <w:rPr>
          <w:rFonts w:hint="eastAsia" w:ascii="仿宋_GB2312" w:hAnsi="仿宋_GB2312" w:eastAsia="仿宋_GB2312" w:cs="仿宋_GB2312"/>
          <w:bCs/>
          <w:spacing w:val="0"/>
          <w:sz w:val="32"/>
          <w:szCs w:val="32"/>
          <w:lang w:val="en-US" w:eastAsia="zh-CN"/>
        </w:rPr>
        <w:t>309号。执法人员当场对上述产品实施了扣押的强制措施，并向当事人下达了乌苏市市场监督管理局实施行政强制措施决定书（乌市监强制</w:t>
      </w: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pacing w:val="0"/>
          <w:sz w:val="32"/>
          <w:szCs w:val="32"/>
          <w:lang w:val="en-US" w:eastAsia="zh-CN"/>
        </w:rPr>
        <w:t>2025〕47号），</w:t>
      </w:r>
      <w:r>
        <w:rPr>
          <w:rFonts w:hint="eastAsia" w:ascii="仿宋_GB2312" w:hAnsi="仿宋_GB2312" w:eastAsia="仿宋_GB2312" w:cs="仿宋_GB2312"/>
          <w:kern w:val="1"/>
          <w:sz w:val="32"/>
          <w:szCs w:val="32"/>
          <w:u w:val="none"/>
          <w:lang w:val="en-US" w:eastAsia="zh-CN"/>
        </w:rPr>
        <w:t>由当事人张**现场签</w:t>
      </w:r>
      <w:r>
        <w:rPr>
          <w:rFonts w:hint="eastAsia" w:ascii="仿宋_GB2312" w:hAnsi="仿宋_GB2312" w:eastAsia="仿宋_GB2312" w:cs="仿宋_GB2312"/>
          <w:bCs/>
          <w:spacing w:val="0"/>
          <w:sz w:val="32"/>
          <w:szCs w:val="32"/>
          <w:lang w:val="en-US" w:eastAsia="zh-CN"/>
        </w:rPr>
        <w:t>收。</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2025年5月30日，我局委托纳爱斯集团有限公司对涉案产品超能彩衣漂净液、妙管家厨房重油污清洁剂、雕牌彩漂液和公道先生84消毒液与乌苏市娄楼商贸有限公司（安达倾城店）洗化区发现的西亚斯®植悦精油香氛沐浴露水凝悦润进行鉴定；2025年6月13日，我局执法人员收到纳爱斯集团有限公司的鉴定报告及“超能”“公道先生”“妙管家”“西亚斯”“雕”商标注册证和营业执照复印件。经纳爱斯集团有限公司鉴定：限期使用日</w:t>
      </w:r>
      <w:r>
        <w:rPr>
          <w:rFonts w:hint="eastAsia" w:ascii="仿宋_GB2312" w:hAnsi="仿宋" w:eastAsia="仿宋_GB2312" w:cs="仿宋"/>
          <w:color w:val="auto"/>
          <w:sz w:val="32"/>
          <w:szCs w:val="32"/>
          <w:u w:val="none"/>
          <w:lang w:val="en-US" w:eastAsia="zh-CN"/>
        </w:rPr>
        <w:t>期及批号为20241206A1554的超能彩衣漂净液是该司生产的产品；</w:t>
      </w:r>
      <w:r>
        <w:rPr>
          <w:rFonts w:hint="eastAsia" w:ascii="仿宋_GB2312" w:hAnsi="仿宋_GB2312" w:eastAsia="仿宋_GB2312" w:cs="仿宋_GB2312"/>
          <w:bCs/>
          <w:spacing w:val="0"/>
          <w:sz w:val="32"/>
          <w:szCs w:val="32"/>
          <w:lang w:val="en-US" w:eastAsia="zh-CN"/>
        </w:rPr>
        <w:t>限期使用日</w:t>
      </w:r>
      <w:r>
        <w:rPr>
          <w:rFonts w:hint="eastAsia" w:ascii="仿宋_GB2312" w:hAnsi="仿宋" w:eastAsia="仿宋_GB2312" w:cs="仿宋"/>
          <w:color w:val="auto"/>
          <w:sz w:val="32"/>
          <w:szCs w:val="32"/>
          <w:u w:val="none"/>
          <w:lang w:val="en-US" w:eastAsia="zh-CN"/>
        </w:rPr>
        <w:t>期及批号为20250218A5471的超能彩衣漂净液是该司生产的产品，但生产批号不是该司印制；无</w:t>
      </w:r>
      <w:r>
        <w:rPr>
          <w:rFonts w:hint="eastAsia" w:ascii="仿宋_GB2312" w:hAnsi="仿宋_GB2312" w:eastAsia="仿宋_GB2312" w:cs="仿宋_GB2312"/>
          <w:bCs/>
          <w:spacing w:val="0"/>
          <w:sz w:val="32"/>
          <w:szCs w:val="32"/>
          <w:lang w:val="en-US" w:eastAsia="zh-CN"/>
        </w:rPr>
        <w:t>限期使用日</w:t>
      </w:r>
      <w:r>
        <w:rPr>
          <w:rFonts w:hint="eastAsia" w:ascii="仿宋_GB2312" w:hAnsi="仿宋" w:eastAsia="仿宋_GB2312" w:cs="仿宋"/>
          <w:color w:val="auto"/>
          <w:sz w:val="32"/>
          <w:szCs w:val="32"/>
          <w:u w:val="none"/>
          <w:lang w:val="en-US" w:eastAsia="zh-CN"/>
        </w:rPr>
        <w:t>期及批号的雕牌彩漂液料液与该司标准相符，但外包装标贴不是该司印制；无</w:t>
      </w:r>
      <w:r>
        <w:rPr>
          <w:rFonts w:hint="eastAsia" w:ascii="仿宋_GB2312" w:hAnsi="仿宋_GB2312" w:eastAsia="仿宋_GB2312" w:cs="仿宋_GB2312"/>
          <w:bCs/>
          <w:spacing w:val="0"/>
          <w:sz w:val="32"/>
          <w:szCs w:val="32"/>
          <w:lang w:val="en-US" w:eastAsia="zh-CN"/>
        </w:rPr>
        <w:t>限期使用日</w:t>
      </w:r>
      <w:r>
        <w:rPr>
          <w:rFonts w:hint="eastAsia" w:ascii="仿宋_GB2312" w:hAnsi="仿宋" w:eastAsia="仿宋_GB2312" w:cs="仿宋"/>
          <w:color w:val="auto"/>
          <w:sz w:val="32"/>
          <w:szCs w:val="32"/>
          <w:u w:val="none"/>
          <w:lang w:val="en-US" w:eastAsia="zh-CN"/>
        </w:rPr>
        <w:t>期及批号的公道先生84消毒液瓶子标贴与该司产品相符，但料液与该司标准不相符；</w:t>
      </w:r>
      <w:r>
        <w:rPr>
          <w:rFonts w:hint="eastAsia" w:ascii="仿宋_GB2312" w:hAnsi="仿宋_GB2312" w:eastAsia="仿宋_GB2312" w:cs="仿宋_GB2312"/>
          <w:bCs/>
          <w:spacing w:val="0"/>
          <w:sz w:val="32"/>
          <w:szCs w:val="32"/>
          <w:lang w:val="en-US" w:eastAsia="zh-CN"/>
        </w:rPr>
        <w:t>限期使用日</w:t>
      </w:r>
      <w:r>
        <w:rPr>
          <w:rFonts w:hint="eastAsia" w:ascii="仿宋_GB2312" w:hAnsi="仿宋" w:eastAsia="仿宋_GB2312" w:cs="仿宋"/>
          <w:color w:val="auto"/>
          <w:sz w:val="32"/>
          <w:szCs w:val="32"/>
          <w:u w:val="none"/>
          <w:lang w:val="en-US" w:eastAsia="zh-CN"/>
        </w:rPr>
        <w:t>期及批号为20270423A5752D的西亚斯</w:t>
      </w:r>
      <w:r>
        <w:rPr>
          <w:rFonts w:hint="eastAsia" w:ascii="仿宋_GB2312" w:hAnsi="仿宋" w:eastAsia="仿宋_GB2312" w:cs="仿宋"/>
          <w:color w:val="auto"/>
          <w:sz w:val="32"/>
          <w:szCs w:val="32"/>
          <w:u w:val="none"/>
          <w:vertAlign w:val="superscript"/>
          <w:lang w:val="en-US" w:eastAsia="zh-CN"/>
        </w:rPr>
        <w:t>®</w:t>
      </w:r>
      <w:r>
        <w:rPr>
          <w:rFonts w:hint="eastAsia" w:ascii="仿宋_GB2312" w:hAnsi="仿宋" w:eastAsia="仿宋_GB2312" w:cs="仿宋"/>
          <w:color w:val="auto"/>
          <w:sz w:val="32"/>
          <w:szCs w:val="32"/>
          <w:u w:val="none"/>
          <w:lang w:val="en-US" w:eastAsia="zh-CN"/>
        </w:rPr>
        <w:t>植悦精油香氛沐浴露水凝悦润是纳爱斯集团有限公司生产的产品，但批号不是该司印制；无</w:t>
      </w:r>
      <w:r>
        <w:rPr>
          <w:rFonts w:hint="eastAsia" w:ascii="仿宋_GB2312" w:hAnsi="仿宋_GB2312" w:eastAsia="仿宋_GB2312" w:cs="仿宋_GB2312"/>
          <w:bCs/>
          <w:spacing w:val="0"/>
          <w:sz w:val="32"/>
          <w:szCs w:val="32"/>
          <w:lang w:val="en-US" w:eastAsia="zh-CN"/>
        </w:rPr>
        <w:t>限期使用日</w:t>
      </w:r>
      <w:r>
        <w:rPr>
          <w:rFonts w:hint="eastAsia" w:ascii="仿宋_GB2312" w:hAnsi="仿宋" w:eastAsia="仿宋_GB2312" w:cs="仿宋"/>
          <w:color w:val="auto"/>
          <w:sz w:val="32"/>
          <w:szCs w:val="32"/>
          <w:u w:val="none"/>
          <w:lang w:val="en-US" w:eastAsia="zh-CN"/>
        </w:rPr>
        <w:t>期及批号的妙管家厨房重油污清洁剂是该司生产的产品，但生产批号缺失。</w:t>
      </w:r>
      <w:r>
        <w:rPr>
          <w:rFonts w:hint="eastAsia" w:ascii="仿宋_GB2312" w:hAnsi="仿宋_GB2312" w:eastAsia="仿宋_GB2312" w:cs="仿宋_GB2312"/>
          <w:bCs/>
          <w:color w:val="auto"/>
          <w:sz w:val="32"/>
          <w:szCs w:val="32"/>
          <w:lang w:val="en-US" w:eastAsia="zh-CN"/>
        </w:rPr>
        <w:t>根据当事人供述，现场查获并</w:t>
      </w:r>
      <w:r>
        <w:rPr>
          <w:rFonts w:hint="eastAsia" w:ascii="仿宋_GB2312" w:hAnsi="仿宋_GB2312" w:eastAsia="仿宋_GB2312" w:cs="仿宋_GB2312"/>
          <w:bCs/>
          <w:spacing w:val="0"/>
          <w:sz w:val="32"/>
          <w:szCs w:val="32"/>
          <w:lang w:val="en-US" w:eastAsia="zh-CN"/>
        </w:rPr>
        <w:t>实施行政强制措施（乌市监强制</w:t>
      </w: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pacing w:val="0"/>
          <w:sz w:val="32"/>
          <w:szCs w:val="32"/>
          <w:lang w:val="en-US" w:eastAsia="zh-CN"/>
        </w:rPr>
        <w:t>2025〕47号）</w:t>
      </w:r>
      <w:r>
        <w:rPr>
          <w:rFonts w:hint="eastAsia" w:ascii="仿宋_GB2312" w:hAnsi="仿宋_GB2312" w:eastAsia="仿宋_GB2312" w:cs="仿宋_GB2312"/>
          <w:bCs/>
          <w:color w:val="auto"/>
          <w:sz w:val="32"/>
          <w:szCs w:val="32"/>
          <w:lang w:val="en-US" w:eastAsia="zh-CN"/>
        </w:rPr>
        <w:t>的日用品（详见财物清单20250427）均为售后回收回来的产品，其中卸甲水用于擦拭售后回收回来产品瓶体标注的价格，无法提供销售</w:t>
      </w:r>
      <w:r>
        <w:rPr>
          <w:rFonts w:hint="eastAsia" w:ascii="仿宋_GB2312" w:hAnsi="仿宋" w:eastAsia="仿宋_GB2312" w:cs="仿宋"/>
          <w:color w:val="auto"/>
          <w:sz w:val="32"/>
          <w:szCs w:val="32"/>
          <w:u w:val="none"/>
          <w:lang w:val="en-US" w:eastAsia="zh-CN"/>
        </w:rPr>
        <w:t>记录、售后回收记录。</w:t>
      </w:r>
      <w:r>
        <w:rPr>
          <w:rFonts w:hint="eastAsia" w:ascii="仿宋_GB2312" w:hAnsi="仿宋_GB2312" w:eastAsia="仿宋_GB2312" w:cs="仿宋_GB2312"/>
          <w:bCs/>
          <w:spacing w:val="0"/>
          <w:sz w:val="32"/>
          <w:szCs w:val="32"/>
          <w:lang w:val="en-US" w:eastAsia="zh-CN"/>
        </w:rPr>
        <w:t>当事人未建立并执行进货查验记录制度销售化妆品和包装标签标识不符合规定的日用品的行为违反了《化妆品监督管理条例》第三十八条第一款和《中华人民共和国产品质量法》第二十七条第四项的规定，经报局领导批准，我局于2025年6月13日立案，为进一步了解情况，指派别尔克·革命江、王燕对此案进行调查了解。本案已于2025年7月15日调查终结。</w:t>
      </w:r>
    </w:p>
    <w:p>
      <w:pPr>
        <w:keepNext w:val="0"/>
        <w:keepLines w:val="0"/>
        <w:pageBreakBefore w:val="0"/>
        <w:kinsoku/>
        <w:wordWrap/>
        <w:overflowPunct/>
        <w:topLinePunct w:val="0"/>
        <w:autoSpaceDE/>
        <w:autoSpaceDN/>
        <w:bidi w:val="0"/>
        <w:spacing w:line="560" w:lineRule="exact"/>
        <w:ind w:left="0" w:right="0" w:firstLine="640" w:firstLineChars="200"/>
        <w:jc w:val="both"/>
        <w:rPr>
          <w:rFonts w:hint="eastAsia" w:ascii="仿宋_GB2312" w:hAnsi="仿宋" w:eastAsia="仿宋_GB2312" w:cs="仿宋"/>
          <w:color w:val="auto"/>
          <w:sz w:val="32"/>
          <w:szCs w:val="32"/>
          <w:u w:val="none"/>
          <w:lang w:val="en-US" w:eastAsia="zh-CN"/>
        </w:rPr>
      </w:pPr>
      <w:r>
        <w:rPr>
          <w:rFonts w:hint="eastAsia" w:ascii="仿宋_GB2312" w:hAnsi="仿宋_GB2312" w:eastAsia="仿宋_GB2312" w:cs="仿宋_GB2312"/>
          <w:bCs/>
          <w:spacing w:val="0"/>
          <w:sz w:val="32"/>
          <w:szCs w:val="32"/>
          <w:lang w:val="en-US" w:eastAsia="zh-CN"/>
        </w:rPr>
        <w:t>经调查，2023年10月14日，乌苏聚鑫恒商贸有限公司从纳爱斯集团有限公司以65元/箱的价格共购进超能彩衣漂净液10箱（12瓶/箱），以75元/箱的价格销售了10箱；2024年12月19日，当事人从纳爱斯集团有限公司以78元/箱的价格共购进妙管家厨房重油污清洁剂20箱（12瓶/箱），以88元/箱的价格销售了20箱；2023年8月5日，当事人从纳爱斯集团有限公司以55元/箱的价格共购进雕牌彩漂液10箱（12瓶/箱），以65元/箱的价格销售了10箱；2023年7月18日，当事人从纳爱斯集团有限公司以70元/箱的价格共购进公道先生84消毒液10箱（30瓶/箱），以75元/箱的价格销售了10箱；当事人提供了上述产品超能彩衣漂净液、妙管家厨房重油污清洁剂、雕牌彩漂液和公道先生84消毒液的进货票据、产品检验报告及供货商营业执照复印件，其中检验报告产品生产日期/批号与实物不符。当事人于2024年5月24日给</w:t>
      </w:r>
      <w:r>
        <w:rPr>
          <w:rFonts w:hint="eastAsia" w:ascii="仿宋_GB2312" w:hAnsi="仿宋_GB2312" w:eastAsia="仿宋_GB2312" w:cs="仿宋_GB2312"/>
          <w:sz w:val="32"/>
          <w:szCs w:val="32"/>
          <w:u w:val="none"/>
          <w:lang w:val="en-US" w:eastAsia="zh-CN"/>
        </w:rPr>
        <w:t>乌苏市娄楼商贸有限公司销售的4瓶</w:t>
      </w:r>
      <w:r>
        <w:rPr>
          <w:rFonts w:hint="eastAsia" w:ascii="仿宋_GB2312" w:hAnsi="仿宋" w:eastAsia="仿宋_GB2312" w:cs="仿宋"/>
          <w:color w:val="auto"/>
          <w:sz w:val="32"/>
          <w:szCs w:val="32"/>
          <w:u w:val="none"/>
          <w:lang w:val="en-US" w:eastAsia="zh-CN"/>
        </w:rPr>
        <w:t>西亚斯</w:t>
      </w:r>
      <w:r>
        <w:rPr>
          <w:rFonts w:hint="eastAsia" w:ascii="仿宋_GB2312" w:hAnsi="仿宋" w:eastAsia="仿宋_GB2312" w:cs="仿宋"/>
          <w:color w:val="auto"/>
          <w:sz w:val="32"/>
          <w:szCs w:val="32"/>
          <w:u w:val="none"/>
          <w:vertAlign w:val="superscript"/>
          <w:lang w:val="en-US" w:eastAsia="zh-CN"/>
        </w:rPr>
        <w:t>®</w:t>
      </w:r>
      <w:r>
        <w:rPr>
          <w:rFonts w:hint="eastAsia" w:ascii="仿宋_GB2312" w:hAnsi="仿宋" w:eastAsia="仿宋_GB2312" w:cs="仿宋"/>
          <w:color w:val="auto"/>
          <w:sz w:val="32"/>
          <w:szCs w:val="32"/>
          <w:u w:val="none"/>
          <w:lang w:val="en-US" w:eastAsia="zh-CN"/>
        </w:rPr>
        <w:t>植悦精油香氛沐浴露水凝悦润，只提供了营业执照和化妆品生产许可证复印件，无法提供</w:t>
      </w:r>
      <w:r>
        <w:rPr>
          <w:rFonts w:hint="eastAsia" w:ascii="仿宋_GB2312" w:hAnsi="仿宋_GB2312" w:eastAsia="仿宋_GB2312" w:cs="仿宋_GB2312"/>
          <w:spacing w:val="0"/>
          <w:sz w:val="32"/>
          <w:szCs w:val="32"/>
          <w:u w:val="none" w:color="auto"/>
          <w:lang w:val="en-US" w:eastAsia="zh-CN"/>
        </w:rPr>
        <w:t>进货票据、产品备案信息、同批次检验报告</w:t>
      </w:r>
      <w:r>
        <w:rPr>
          <w:rFonts w:hint="eastAsia" w:ascii="仿宋_GB2312" w:hAnsi="仿宋" w:eastAsia="仿宋_GB2312" w:cs="仿宋"/>
          <w:color w:val="auto"/>
          <w:sz w:val="32"/>
          <w:szCs w:val="32"/>
          <w:u w:val="none"/>
          <w:lang w:val="en-US" w:eastAsia="zh-CN"/>
        </w:rPr>
        <w:t>。该化妆品标签标识备案人/生产企业：纳爱斯集团有限公司，备案编号：浙G妆网备字2022002294，化妆品生产许可证：浙妆20160103，限期使用日期及生产批号：20270423A5752D，净含量：500ml。因当事人无法提供销售记录、售后回收记录，故无法计算违法所得，按照当事人提供的进货票据计算超能彩衣漂净液、妙管家厨房重油污清洁剂、雕牌彩漂液和公道先生84消毒液的货值金额为3910元</w:t>
      </w:r>
      <w:r>
        <w:rPr>
          <w:rFonts w:hint="eastAsia" w:ascii="仿宋_GB2312" w:hAnsi="仿宋_GB2312" w:eastAsia="仿宋_GB2312" w:cs="仿宋_GB2312"/>
          <w:bCs/>
          <w:spacing w:val="0"/>
          <w:sz w:val="32"/>
          <w:szCs w:val="32"/>
          <w:lang w:val="en-US" w:eastAsia="zh-CN"/>
        </w:rPr>
        <w:t>（75元/箱</w:t>
      </w:r>
      <w:r>
        <w:rPr>
          <w:rFonts w:hint="eastAsia" w:ascii="仿宋_GB2312" w:hAnsi="仿宋_GB2312" w:eastAsia="仿宋_GB2312" w:cs="仿宋_GB2312"/>
          <w:spacing w:val="0"/>
          <w:kern w:val="1"/>
          <w:sz w:val="32"/>
          <w:szCs w:val="32"/>
          <w:lang w:val="en-US" w:eastAsia="zh-CN"/>
        </w:rPr>
        <w:t>×10箱+88元×20箱+65元×10箱+</w:t>
      </w:r>
      <w:r>
        <w:rPr>
          <w:rFonts w:hint="eastAsia" w:ascii="仿宋_GB2312" w:hAnsi="仿宋_GB2312" w:eastAsia="仿宋_GB2312" w:cs="仿宋_GB2312"/>
          <w:bCs/>
          <w:spacing w:val="0"/>
          <w:sz w:val="32"/>
          <w:szCs w:val="32"/>
          <w:lang w:val="en-US" w:eastAsia="zh-CN"/>
        </w:rPr>
        <w:t>75元/箱</w:t>
      </w:r>
      <w:r>
        <w:rPr>
          <w:rFonts w:hint="eastAsia" w:ascii="仿宋_GB2312" w:hAnsi="仿宋_GB2312" w:eastAsia="仿宋_GB2312" w:cs="仿宋_GB2312"/>
          <w:spacing w:val="0"/>
          <w:kern w:val="1"/>
          <w:sz w:val="32"/>
          <w:szCs w:val="32"/>
          <w:lang w:val="en-US" w:eastAsia="zh-CN"/>
        </w:rPr>
        <w:t>×10箱＝3910元）</w:t>
      </w:r>
      <w:r>
        <w:rPr>
          <w:rFonts w:hint="eastAsia" w:ascii="仿宋_GB2312" w:hAnsi="仿宋" w:eastAsia="仿宋_GB2312" w:cs="仿宋"/>
          <w:color w:val="auto"/>
          <w:sz w:val="32"/>
          <w:szCs w:val="32"/>
          <w:u w:val="none"/>
          <w:lang w:val="en-US" w:eastAsia="zh-CN"/>
        </w:rPr>
        <w:t>。</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bCs/>
          <w:spacing w:val="0"/>
          <w:sz w:val="32"/>
          <w:szCs w:val="32"/>
          <w:lang w:val="en-US" w:eastAsia="zh-CN"/>
        </w:rPr>
        <w:t>2025年6月17日，当事人将乌苏聚鑫恒商贸有限公司营业执照登记的经营地址信息由原来的</w:t>
      </w:r>
      <w:r>
        <w:rPr>
          <w:rFonts w:hint="eastAsia" w:ascii="仿宋_GB2312" w:hAnsi="仿宋_GB2312" w:eastAsia="仿宋_GB2312" w:cs="仿宋_GB2312"/>
          <w:bCs/>
          <w:spacing w:val="0"/>
          <w:sz w:val="32"/>
          <w:szCs w:val="32"/>
          <w:lang w:eastAsia="zh-CN"/>
        </w:rPr>
        <w:t>新疆塔城地区乌苏市虹桥街道明珠社区乌鲁木齐北路1079号第五间（老妇幼保健院对面）变更为新疆塔城地区乌苏市八十四户乡杨家庄子村</w:t>
      </w:r>
      <w:r>
        <w:rPr>
          <w:rFonts w:hint="eastAsia" w:ascii="仿宋_GB2312" w:hAnsi="仿宋_GB2312" w:eastAsia="仿宋_GB2312" w:cs="仿宋_GB2312"/>
          <w:bCs/>
          <w:spacing w:val="0"/>
          <w:sz w:val="32"/>
          <w:szCs w:val="32"/>
          <w:lang w:val="en-US" w:eastAsia="zh-CN"/>
        </w:rPr>
        <w:t>309号（村委会以东800米处）。</w:t>
      </w:r>
      <w:r>
        <w:rPr>
          <w:rFonts w:hint="eastAsia" w:ascii="仿宋_GB2312" w:hAnsi="仿宋_GB2312" w:eastAsia="仿宋_GB2312" w:cs="仿宋_GB2312"/>
          <w:kern w:val="1"/>
          <w:sz w:val="32"/>
          <w:szCs w:val="32"/>
          <w:u w:val="none"/>
          <w:lang w:val="en-US" w:eastAsia="zh-CN"/>
        </w:rPr>
        <w:t>2025年6月24日，经报局领导批准，</w:t>
      </w:r>
      <w:r>
        <w:rPr>
          <w:rFonts w:hint="eastAsia" w:ascii="仿宋_GB2312" w:hAnsi="仿宋_GB2312" w:eastAsia="仿宋_GB2312" w:cs="仿宋_GB2312"/>
          <w:bCs/>
          <w:color w:val="auto"/>
          <w:sz w:val="32"/>
          <w:szCs w:val="32"/>
          <w:lang w:val="en-US" w:eastAsia="zh-CN"/>
        </w:rPr>
        <w:t>执法人员对实施查封的涉案产品（详见财物清单：20250427）解除行政强制措施，向当事</w:t>
      </w:r>
      <w:r>
        <w:rPr>
          <w:rFonts w:hint="eastAsia" w:ascii="仿宋_GB2312" w:hAnsi="仿宋_GB2312" w:eastAsia="仿宋_GB2312" w:cs="仿宋_GB2312"/>
          <w:kern w:val="1"/>
          <w:sz w:val="32"/>
          <w:szCs w:val="32"/>
          <w:u w:val="none"/>
          <w:lang w:val="en-US" w:eastAsia="zh-CN"/>
        </w:rPr>
        <w:t>人下发了《解除行政强制措施决定书》（乌市监解强〔2025〕47号）。当事人于当日自愿将</w:t>
      </w:r>
      <w:r>
        <w:rPr>
          <w:rFonts w:hint="eastAsia" w:ascii="仿宋_GB2312" w:hAnsi="仿宋_GB2312" w:eastAsia="仿宋_GB2312" w:cs="仿宋_GB2312"/>
          <w:bCs/>
          <w:color w:val="auto"/>
          <w:sz w:val="32"/>
          <w:szCs w:val="32"/>
          <w:lang w:val="en-US" w:eastAsia="zh-CN"/>
        </w:rPr>
        <w:t>涉案产品（详见财物清单：20250427）上交我局进行处理</w:t>
      </w:r>
      <w:r>
        <w:rPr>
          <w:rFonts w:hint="eastAsia" w:ascii="仿宋_GB2312" w:hAnsi="仿宋_GB2312" w:eastAsia="仿宋_GB2312" w:cs="仿宋_GB2312"/>
          <w:kern w:val="1"/>
          <w:sz w:val="32"/>
          <w:szCs w:val="32"/>
          <w:u w:val="none"/>
          <w:lang w:val="en-US" w:eastAsia="zh-CN"/>
        </w:rPr>
        <w:t>。当事人在</w:t>
      </w:r>
      <w:r>
        <w:rPr>
          <w:rFonts w:hint="eastAsia" w:ascii="仿宋_GB2312" w:hAnsi="仿宋_GB2312" w:eastAsia="仿宋_GB2312" w:cs="仿宋_GB2312"/>
          <w:i w:val="0"/>
          <w:iCs w:val="0"/>
          <w:sz w:val="32"/>
          <w:szCs w:val="32"/>
          <w:u w:val="none"/>
          <w:lang w:val="en-US" w:eastAsia="zh-CN"/>
        </w:rPr>
        <w:t>现场笔录和询问笔录上签字确认，未提出异议。</w:t>
      </w:r>
    </w:p>
    <w:p>
      <w:pPr>
        <w:keepNext w:val="0"/>
        <w:keepLines w:val="0"/>
        <w:pageBreakBefore w:val="0"/>
        <w:kinsoku/>
        <w:wordWrap/>
        <w:overflowPunct/>
        <w:topLinePunct w:val="0"/>
        <w:autoSpaceDE/>
        <w:autoSpaceDN/>
        <w:bidi w:val="0"/>
        <w:spacing w:line="560" w:lineRule="exact"/>
        <w:ind w:left="0" w:right="0" w:firstLine="640" w:firstLineChars="200"/>
        <w:jc w:val="both"/>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上述事实，主要有以下证据证明：</w:t>
      </w:r>
    </w:p>
    <w:p>
      <w:pPr>
        <w:keepNext w:val="0"/>
        <w:keepLines w:val="0"/>
        <w:pageBreakBefore w:val="0"/>
        <w:kinsoku/>
        <w:wordWrap/>
        <w:overflowPunct/>
        <w:topLinePunct w:val="0"/>
        <w:autoSpaceDE/>
        <w:autoSpaceDN/>
        <w:bidi w:val="0"/>
        <w:spacing w:line="560" w:lineRule="exact"/>
        <w:ind w:left="0" w:right="0" w:firstLine="640" w:firstLineChars="200"/>
        <w:jc w:val="both"/>
        <w:rPr>
          <w:rFonts w:hint="eastAsia" w:ascii="仿宋_GB2312" w:hAnsi="仿宋_GB2312" w:eastAsia="仿宋_GB2312" w:cs="仿宋_GB2312"/>
          <w:color w:val="0000FF"/>
          <w:spacing w:val="0"/>
          <w:sz w:val="32"/>
          <w:szCs w:val="32"/>
        </w:rPr>
      </w:pPr>
      <w:r>
        <w:rPr>
          <w:rFonts w:hint="eastAsia" w:ascii="仿宋_GB2312" w:hAnsi="仿宋_GB2312" w:eastAsia="仿宋_GB2312" w:cs="仿宋_GB2312"/>
          <w:i w:val="0"/>
          <w:iCs w:val="0"/>
          <w:sz w:val="32"/>
          <w:szCs w:val="32"/>
          <w:u w:val="none"/>
          <w:lang w:val="en-US" w:eastAsia="zh-CN"/>
        </w:rPr>
        <w:t>1.《营业执照》复印件2份，由当事人提供，证明当事人的经营主体资格及经营范围，以及按照责令改正要求完成变更经营地址；</w:t>
      </w:r>
      <w:r>
        <w:rPr>
          <w:rFonts w:hint="eastAsia" w:ascii="仿宋_GB2312" w:hAnsi="仿宋_GB2312" w:eastAsia="仿宋_GB2312" w:cs="仿宋_GB2312"/>
          <w:color w:val="0000FF"/>
          <w:spacing w:val="0"/>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FF"/>
          <w:spacing w:val="0"/>
          <w:sz w:val="32"/>
          <w:szCs w:val="32"/>
        </w:rPr>
      </w:pPr>
      <w:r>
        <w:rPr>
          <w:rFonts w:hint="eastAsia" w:ascii="仿宋_GB2312" w:hAnsi="仿宋_GB2312" w:eastAsia="仿宋_GB2312" w:cs="仿宋_GB2312"/>
          <w:i w:val="0"/>
          <w:iCs w:val="0"/>
          <w:sz w:val="32"/>
          <w:szCs w:val="32"/>
          <w:u w:val="none"/>
          <w:lang w:val="en-US" w:eastAsia="zh-CN"/>
        </w:rPr>
        <w:t xml:space="preserve">2.法定代表人身份证复印件1份，由当事人提供，证明该公司法定代表人身份信息与《营业执照》登记信息相符； </w:t>
      </w:r>
      <w:r>
        <w:rPr>
          <w:rFonts w:hint="eastAsia" w:ascii="仿宋_GB2312" w:hAnsi="仿宋_GB2312" w:eastAsia="仿宋_GB2312" w:cs="仿宋_GB2312"/>
          <w:color w:val="0000FF"/>
          <w:spacing w:val="0"/>
          <w:sz w:val="32"/>
          <w:szCs w:val="32"/>
        </w:rPr>
        <w:t xml:space="preserve">                         </w:t>
      </w:r>
    </w:p>
    <w:p>
      <w:pPr>
        <w:keepNext w:val="0"/>
        <w:keepLines w:val="0"/>
        <w:pageBreakBefore w:val="0"/>
        <w:kinsoku/>
        <w:wordWrap/>
        <w:overflowPunct/>
        <w:topLinePunct w:val="0"/>
        <w:autoSpaceDE/>
        <w:autoSpaceDN/>
        <w:bidi w:val="0"/>
        <w:spacing w:line="560" w:lineRule="exact"/>
        <w:ind w:left="0" w:right="0" w:firstLine="640" w:firstLineChars="200"/>
        <w:jc w:val="both"/>
        <w:rPr>
          <w:rFonts w:hint="default"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3.纳爱斯集团有限公司《营业执照》《化妆品生产许可证》《全国工业产品生产许可证》、产品检验报告和进货票据复印件各1份，由当事人提供，证明当事人购进</w:t>
      </w:r>
      <w:r>
        <w:rPr>
          <w:rFonts w:hint="eastAsia" w:ascii="仿宋_GB2312" w:hAnsi="仿宋_GB2312" w:eastAsia="仿宋_GB2312" w:cs="仿宋_GB2312"/>
          <w:bCs/>
          <w:spacing w:val="0"/>
          <w:sz w:val="32"/>
          <w:szCs w:val="32"/>
          <w:lang w:val="en-US" w:eastAsia="zh-CN"/>
        </w:rPr>
        <w:t>超能彩衣漂净液、妙管家厨房重油污清洁剂、雕牌彩漂液和公道先生84消毒液</w:t>
      </w:r>
      <w:r>
        <w:rPr>
          <w:rFonts w:hint="eastAsia" w:ascii="仿宋_GB2312" w:hAnsi="仿宋_GB2312" w:eastAsia="仿宋_GB2312" w:cs="仿宋_GB2312"/>
          <w:i w:val="0"/>
          <w:iCs w:val="0"/>
          <w:sz w:val="32"/>
          <w:szCs w:val="32"/>
          <w:u w:val="none"/>
          <w:lang w:val="en-US" w:eastAsia="zh-CN"/>
        </w:rPr>
        <w:t>的日期、数量的事实；</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4.纳爱斯集团有限公司的《营业执照》、商标注册证复印件和鉴定报告1份，由纳爱斯集团有限公司提供，证明纳爱斯集团有限公司的经营主体资格及经营范围，以及该公司</w:t>
      </w:r>
      <w:r>
        <w:rPr>
          <w:rFonts w:hint="eastAsia" w:ascii="仿宋_GB2312" w:hAnsi="仿宋_GB2312" w:eastAsia="仿宋_GB2312" w:cs="仿宋_GB2312"/>
          <w:kern w:val="0"/>
          <w:sz w:val="32"/>
          <w:szCs w:val="32"/>
          <w:lang w:val="en-US" w:eastAsia="zh-CN"/>
        </w:rPr>
        <w:t>持有</w:t>
      </w:r>
      <w:r>
        <w:rPr>
          <w:rFonts w:hint="eastAsia" w:ascii="仿宋_GB2312" w:hAnsi="仿宋_GB2312" w:eastAsia="仿宋_GB2312" w:cs="仿宋_GB2312"/>
          <w:bCs/>
          <w:spacing w:val="0"/>
          <w:sz w:val="32"/>
          <w:szCs w:val="32"/>
          <w:lang w:val="en-US" w:eastAsia="zh-CN"/>
        </w:rPr>
        <w:t>“超能”“</w:t>
      </w:r>
      <w:bookmarkStart w:id="3" w:name="_GoBack"/>
      <w:bookmarkEnd w:id="3"/>
      <w:r>
        <w:rPr>
          <w:rFonts w:hint="eastAsia" w:ascii="仿宋_GB2312" w:hAnsi="仿宋_GB2312" w:eastAsia="仿宋_GB2312" w:cs="仿宋_GB2312"/>
          <w:bCs/>
          <w:spacing w:val="0"/>
          <w:sz w:val="32"/>
          <w:szCs w:val="32"/>
          <w:lang w:val="en-US" w:eastAsia="zh-CN"/>
        </w:rPr>
        <w:t>公道先生”“妙管家”“西亚斯”“雕”</w:t>
      </w:r>
      <w:r>
        <w:rPr>
          <w:rFonts w:hint="eastAsia" w:ascii="仿宋_GB2312" w:hAnsi="仿宋" w:eastAsia="仿宋_GB2312" w:cs="Mongolian Baiti"/>
          <w:kern w:val="1"/>
          <w:sz w:val="32"/>
          <w:szCs w:val="32"/>
          <w:u w:val="none"/>
          <w:lang w:val="en-US" w:eastAsia="zh-CN"/>
        </w:rPr>
        <w:t>注册商标及相关商标注册人的情况</w:t>
      </w:r>
      <w:r>
        <w:rPr>
          <w:rFonts w:hint="eastAsia" w:ascii="仿宋_GB2312" w:hAnsi="仿宋_GB2312" w:eastAsia="仿宋_GB2312" w:cs="仿宋_GB2312"/>
          <w:i w:val="0"/>
          <w:iCs w:val="0"/>
          <w:sz w:val="32"/>
          <w:szCs w:val="32"/>
          <w:u w:val="none"/>
          <w:lang w:val="en-US" w:eastAsia="zh-CN"/>
        </w:rPr>
        <w:t>和涉案产品的鉴定结论；</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FF"/>
          <w:spacing w:val="0"/>
          <w:sz w:val="32"/>
          <w:szCs w:val="32"/>
        </w:rPr>
      </w:pPr>
      <w:r>
        <w:rPr>
          <w:rFonts w:hint="eastAsia" w:ascii="仿宋_GB2312" w:hAnsi="仿宋_GB2312" w:eastAsia="仿宋_GB2312" w:cs="仿宋_GB2312"/>
          <w:i w:val="0"/>
          <w:iCs w:val="0"/>
          <w:sz w:val="32"/>
          <w:szCs w:val="32"/>
          <w:u w:val="none"/>
          <w:lang w:val="en-US" w:eastAsia="zh-CN"/>
        </w:rPr>
        <w:t xml:space="preserve">5.现场笔录1份，证明2025年4月27日执法人员现场核实当事人未建立并执行进货查验记录制度销售化妆品和包装标签标识不符合规定的涉案日用品的事实经过，以及查封涉案日用品的情况；      </w:t>
      </w:r>
      <w:r>
        <w:rPr>
          <w:rFonts w:hint="eastAsia" w:ascii="仿宋_GB2312" w:hAnsi="仿宋_GB2312" w:eastAsia="仿宋_GB2312" w:cs="仿宋_GB2312"/>
          <w:color w:val="0000FF"/>
          <w:spacing w:val="0"/>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default"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6.询问笔录3份，笔录（一）证明当事人经营的标签不符合规定的日用品进货渠道及经营地址与实际地址不符的情况；笔录（二）证明当事人给乌苏市娄楼商贸有限公司的安达倾城店销售西亚斯植悦精油香氛沐浴露水凝悦润的日期、数量、价格的事实；笔录（三）证明当事人</w:t>
      </w:r>
      <w:r>
        <w:rPr>
          <w:rFonts w:hint="eastAsia" w:ascii="仿宋_GB2312" w:hAnsi="仿宋_GB2312" w:eastAsia="仿宋_GB2312" w:cs="仿宋_GB2312"/>
          <w:bCs/>
          <w:spacing w:val="0"/>
          <w:sz w:val="32"/>
          <w:szCs w:val="32"/>
          <w:lang w:val="en-US" w:eastAsia="zh-CN"/>
        </w:rPr>
        <w:t>未建立并执行进货查验记录制度销售化妆品和包装标签标识不符合规定的日用品的违法事实，</w:t>
      </w:r>
      <w:r>
        <w:rPr>
          <w:rFonts w:hint="eastAsia" w:ascii="仿宋_GB2312" w:hAnsi="仿宋_GB2312" w:eastAsia="仿宋_GB2312" w:cs="仿宋_GB2312"/>
          <w:i w:val="0"/>
          <w:iCs w:val="0"/>
          <w:sz w:val="32"/>
          <w:szCs w:val="32"/>
          <w:u w:val="none"/>
          <w:lang w:val="en-US" w:eastAsia="zh-CN"/>
        </w:rPr>
        <w:t>以及超能彩衣漂净液、公道先生84消毒液、雕牌彩漂液、妙管家厨房重油污清洁剂、西亚斯植悦精油香氛沐浴露的进货数量、价格和销售数量、价格的情况；</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FF"/>
          <w:spacing w:val="0"/>
          <w:sz w:val="32"/>
          <w:szCs w:val="32"/>
        </w:rPr>
      </w:pPr>
      <w:r>
        <w:rPr>
          <w:rFonts w:hint="eastAsia" w:ascii="仿宋_GB2312" w:hAnsi="仿宋_GB2312" w:eastAsia="仿宋_GB2312" w:cs="仿宋_GB2312"/>
          <w:i w:val="0"/>
          <w:iCs w:val="0"/>
          <w:sz w:val="32"/>
          <w:szCs w:val="32"/>
          <w:u w:val="none"/>
          <w:lang w:val="en-US" w:eastAsia="zh-CN"/>
        </w:rPr>
        <w:t xml:space="preserve">7.现场拍摄照片2张、音像视频资料1份，证明2025年4月27日执法人员在当事人经营场所现场核实当事人未建立并执行进货查验记录制度销售化妆品和包装标签标识不符合规定的涉案日用品的事实经过，以及查封涉案日用品的情况；  </w:t>
      </w:r>
      <w:r>
        <w:rPr>
          <w:rFonts w:hint="eastAsia" w:ascii="仿宋_GB2312" w:hAnsi="仿宋_GB2312" w:eastAsia="仿宋_GB2312" w:cs="仿宋_GB2312"/>
          <w:color w:val="0000FF"/>
          <w:spacing w:val="0"/>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8.提取的超能彩衣漂净液、妙管家厨房重油污清洁剂、雕牌彩漂液和公道先生84消毒液正面和背面照片各2张，证明在当事人经营场所发现的超能彩衣漂净液、妙管家厨房重油污清洁剂、雕牌彩漂液和公道先生84消毒液标签不符合规定的事实；</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9.提取的乌苏市娄楼商贸有限公司的案件材料询问笔录、进货票据（销售出库单2024-05-24）复印件1份，以及西亚斯®植悦精油香氛沐浴露水凝悦润的正面和背面照片各1份，证明乌苏市娄楼商贸有限公司提供的进货票据（销售出库单2024-05-24）由当事人提供，以及案件线索来源；</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10.纳爱斯丽水销售有限公司出具的函复印件1份，证明当事人为纳爱斯集团有限公司的2025年度的经销商的事实。</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我局于2025年8月1日依法向当事人送达了《行政处罚告知书》（塔乌市监罚告〔2025〕172号），告知了当事人依法享有陈述、申辩的权利，当事人在法定期限内未提出陈述、申辩，视为放弃此权利。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当事人</w:t>
      </w:r>
      <w:r>
        <w:rPr>
          <w:rFonts w:hint="eastAsia" w:ascii="仿宋_GB2312" w:hAnsi="仿宋_GB2312" w:eastAsia="仿宋_GB2312" w:cs="仿宋_GB2312"/>
          <w:spacing w:val="0"/>
          <w:kern w:val="0"/>
          <w:sz w:val="32"/>
          <w:szCs w:val="32"/>
          <w:lang w:eastAsia="zh-CN"/>
        </w:rPr>
        <w:t>未</w:t>
      </w:r>
      <w:r>
        <w:rPr>
          <w:rFonts w:hint="eastAsia" w:ascii="仿宋_GB2312" w:hAnsi="仿宋_GB2312" w:eastAsia="仿宋_GB2312" w:cs="仿宋_GB2312"/>
          <w:bCs/>
          <w:spacing w:val="0"/>
          <w:sz w:val="32"/>
          <w:szCs w:val="32"/>
          <w:lang w:val="en-US" w:eastAsia="zh-CN"/>
        </w:rPr>
        <w:t>建立并执行进货查验记录制度销售化妆品的</w:t>
      </w:r>
      <w:r>
        <w:rPr>
          <w:rFonts w:hint="eastAsia" w:ascii="仿宋_GB2312" w:hAnsi="仿宋_GB2312" w:eastAsia="仿宋_GB2312" w:cs="仿宋_GB2312"/>
          <w:spacing w:val="0"/>
          <w:kern w:val="0"/>
          <w:sz w:val="32"/>
          <w:szCs w:val="32"/>
        </w:rPr>
        <w:t>行为</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违反了《</w:t>
      </w:r>
      <w:r>
        <w:rPr>
          <w:rFonts w:hint="eastAsia" w:ascii="仿宋_GB2312" w:hAnsi="仿宋_GB2312" w:eastAsia="仿宋_GB2312" w:cs="仿宋_GB2312"/>
          <w:spacing w:val="0"/>
          <w:kern w:val="0"/>
          <w:sz w:val="32"/>
          <w:szCs w:val="32"/>
          <w:lang w:eastAsia="zh-CN"/>
        </w:rPr>
        <w:t>化妆品监督管理条例</w:t>
      </w:r>
      <w:r>
        <w:rPr>
          <w:rFonts w:hint="eastAsia" w:ascii="仿宋_GB2312" w:hAnsi="仿宋_GB2312" w:eastAsia="仿宋_GB2312" w:cs="仿宋_GB2312"/>
          <w:spacing w:val="0"/>
          <w:kern w:val="0"/>
          <w:sz w:val="32"/>
          <w:szCs w:val="32"/>
        </w:rPr>
        <w:t>》第三十</w:t>
      </w:r>
      <w:r>
        <w:rPr>
          <w:rFonts w:hint="eastAsia" w:ascii="仿宋_GB2312" w:hAnsi="仿宋_GB2312" w:eastAsia="仿宋_GB2312" w:cs="仿宋_GB2312"/>
          <w:spacing w:val="0"/>
          <w:kern w:val="0"/>
          <w:sz w:val="32"/>
          <w:szCs w:val="32"/>
          <w:lang w:eastAsia="zh-CN"/>
        </w:rPr>
        <w:t>八</w:t>
      </w:r>
      <w:r>
        <w:rPr>
          <w:rFonts w:hint="eastAsia" w:ascii="仿宋_GB2312" w:hAnsi="仿宋_GB2312" w:eastAsia="仿宋_GB2312" w:cs="仿宋_GB2312"/>
          <w:spacing w:val="0"/>
          <w:kern w:val="0"/>
          <w:sz w:val="32"/>
          <w:szCs w:val="32"/>
        </w:rPr>
        <w:t>条</w:t>
      </w:r>
      <w:r>
        <w:rPr>
          <w:rFonts w:hint="eastAsia" w:ascii="仿宋_GB2312" w:hAnsi="仿宋_GB2312" w:eastAsia="仿宋_GB2312" w:cs="仿宋_GB2312"/>
          <w:spacing w:val="0"/>
          <w:kern w:val="0"/>
          <w:sz w:val="32"/>
          <w:szCs w:val="32"/>
          <w:lang w:eastAsia="zh-CN"/>
        </w:rPr>
        <w:t>第一款</w:t>
      </w:r>
      <w:r>
        <w:rPr>
          <w:rFonts w:hint="eastAsia" w:ascii="仿宋_GB2312" w:hAnsi="仿宋_GB2312" w:eastAsia="仿宋_GB2312" w:cs="仿宋_GB2312"/>
          <w:spacing w:val="0"/>
          <w:kern w:val="0"/>
          <w:sz w:val="32"/>
          <w:szCs w:val="32"/>
        </w:rPr>
        <w:t>：“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的规定，</w:t>
      </w:r>
      <w:r>
        <w:rPr>
          <w:rFonts w:hint="eastAsia" w:ascii="仿宋_GB2312" w:hAnsi="仿宋_GB2312" w:eastAsia="仿宋_GB2312" w:cs="仿宋_GB2312"/>
          <w:spacing w:val="0"/>
          <w:kern w:val="0"/>
          <w:sz w:val="32"/>
          <w:szCs w:val="32"/>
          <w:lang w:eastAsia="zh-CN"/>
        </w:rPr>
        <w:t>当事人销售包装标签标识不符合规定的日用品的行为，违反了《中华人民共和国产品质量法》第二十七条第四项：“</w:t>
      </w:r>
      <w:r>
        <w:rPr>
          <w:rFonts w:hint="eastAsia" w:ascii="仿宋_GB2312" w:hAnsi="仿宋_GB2312" w:eastAsia="仿宋_GB2312" w:cs="仿宋_GB2312"/>
          <w:spacing w:val="0"/>
          <w:kern w:val="0"/>
          <w:sz w:val="32"/>
          <w:szCs w:val="32"/>
        </w:rPr>
        <w:t>产品或者其包装上的标识必须真实，并符合下列要求：（四）限期使用的产品，应当在显著位置清晰地标明生产日期和安全使用期或者失效日期；</w:t>
      </w:r>
      <w:r>
        <w:rPr>
          <w:rFonts w:hint="eastAsia" w:ascii="仿宋_GB2312" w:hAnsi="仿宋_GB2312" w:eastAsia="仿宋_GB2312" w:cs="仿宋_GB2312"/>
          <w:spacing w:val="0"/>
          <w:kern w:val="0"/>
          <w:sz w:val="32"/>
          <w:szCs w:val="32"/>
          <w:lang w:eastAsia="zh-CN"/>
        </w:rPr>
        <w:t>”的规定，</w:t>
      </w:r>
      <w:r>
        <w:rPr>
          <w:rFonts w:hint="eastAsia" w:ascii="仿宋_GB2312" w:hAnsi="仿宋_GB2312" w:eastAsia="仿宋_GB2312" w:cs="仿宋_GB2312"/>
          <w:kern w:val="0"/>
          <w:sz w:val="32"/>
          <w:szCs w:val="32"/>
          <w:lang w:val="en-US" w:eastAsia="zh-CN"/>
        </w:rPr>
        <w:t>当事人已构成</w:t>
      </w:r>
      <w:r>
        <w:rPr>
          <w:rFonts w:hint="eastAsia" w:ascii="仿宋_GB2312" w:hAnsi="仿宋_GB2312" w:eastAsia="仿宋_GB2312" w:cs="仿宋_GB2312"/>
          <w:bCs/>
          <w:spacing w:val="0"/>
          <w:sz w:val="32"/>
          <w:szCs w:val="32"/>
          <w:lang w:val="en-US" w:eastAsia="zh-CN"/>
        </w:rPr>
        <w:t>未建立并执行进货查验记录制度销售化妆品和包装标签标识不符合规定的日用品</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spacing w:val="0"/>
          <w:kern w:val="0"/>
          <w:sz w:val="32"/>
          <w:szCs w:val="32"/>
        </w:rPr>
        <w:t xml:space="preserve">违法行为。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鉴于当事人</w:t>
      </w:r>
      <w:r>
        <w:rPr>
          <w:rFonts w:hint="eastAsia" w:ascii="仿宋_GB2312" w:hAnsi="仿宋_GB2312" w:eastAsia="仿宋_GB2312" w:cs="仿宋_GB2312"/>
          <w:spacing w:val="0"/>
          <w:kern w:val="0"/>
          <w:sz w:val="32"/>
          <w:szCs w:val="32"/>
          <w:lang w:eastAsia="zh-CN"/>
        </w:rPr>
        <w:t>系初次违法，</w:t>
      </w:r>
      <w:r>
        <w:rPr>
          <w:rFonts w:hint="eastAsia" w:ascii="仿宋_GB2312" w:hAnsi="仿宋_GB2312" w:eastAsia="仿宋_GB2312" w:cs="仿宋_GB2312"/>
          <w:spacing w:val="0"/>
          <w:kern w:val="0"/>
          <w:sz w:val="32"/>
          <w:szCs w:val="32"/>
        </w:rPr>
        <w:t>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办理过程中态度端正，能够积极配合办案人员调查，如实陈述违法事实</w:t>
      </w:r>
      <w:r>
        <w:rPr>
          <w:rFonts w:hint="eastAsia" w:ascii="仿宋_GB2312" w:hAnsi="仿宋_GB2312" w:eastAsia="仿宋_GB2312" w:cs="仿宋_GB2312"/>
          <w:spacing w:val="0"/>
          <w:kern w:val="0"/>
          <w:sz w:val="32"/>
          <w:szCs w:val="32"/>
          <w:lang w:eastAsia="zh-CN"/>
        </w:rPr>
        <w:t>并提供相关证据材料，并保证在今后的经营过程中守法诚信经营。</w:t>
      </w:r>
      <w:r>
        <w:rPr>
          <w:rFonts w:hint="eastAsia" w:ascii="仿宋_GB2312" w:hAnsi="仿宋_GB2312" w:eastAsia="仿宋_GB2312" w:cs="仿宋_GB2312"/>
          <w:spacing w:val="0"/>
          <w:kern w:val="0"/>
          <w:sz w:val="32"/>
          <w:szCs w:val="32"/>
          <w:lang w:val="en-US" w:eastAsia="zh-CN"/>
        </w:rPr>
        <w:t>当事人的上述情况符合《新疆维吾尔自治区新疆生产建设兵团市场监督管理行政处罚裁量权适用规定》第十七条第二项：“有下列情形之一的，可以依法从轻或者减轻行政处罚：（二）积极配合市场监管部门调查并主动提供证据材料的；”所规定的情形，</w:t>
      </w:r>
      <w:r>
        <w:rPr>
          <w:rFonts w:hint="eastAsia" w:ascii="仿宋_GB2312" w:hAnsi="仿宋_GB2312" w:eastAsia="仿宋_GB2312" w:cs="仿宋_GB2312"/>
          <w:color w:val="auto"/>
          <w:sz w:val="32"/>
          <w:szCs w:val="32"/>
          <w:lang w:val="en-US" w:eastAsia="zh-CN"/>
        </w:rPr>
        <w:t>参照《新疆维吾尔自治区新疆生产建设兵团化妆品监督管理行政处罚裁量基准》化妆品3项“违法行为：有下列情形之一的：（五）生产经营标签不符合《化妆品监督管理条例》规定的化妆品”和化妆品5项“违法行为：有下列情形之一的：（二）未依照《化妆品监督管理条例》规定建立并执行进货查验记录制度、产品销售记录制度</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color w:val="auto"/>
          <w:sz w:val="32"/>
          <w:szCs w:val="32"/>
          <w:lang w:val="en-US" w:eastAsia="zh-CN"/>
        </w:rPr>
        <w:t>裁量等级：减轻；裁量情节：符合《裁量规则》减轻行政处罚情形的；裁量基准：一般情形，并处</w:t>
      </w:r>
      <w:r>
        <w:rPr>
          <w:rFonts w:hint="eastAsia" w:ascii="仿宋_GB2312" w:hAnsi="仿宋_GB2312" w:eastAsia="仿宋_GB2312" w:cs="仿宋_GB2312"/>
          <w:bCs/>
          <w:color w:val="auto"/>
          <w:sz w:val="32"/>
          <w:szCs w:val="32"/>
          <w:lang w:val="en-US" w:eastAsia="zh-CN"/>
        </w:rPr>
        <w:t>1万元以下罚款；”</w:t>
      </w:r>
      <w:r>
        <w:rPr>
          <w:rFonts w:hint="eastAsia" w:ascii="仿宋_GB2312" w:hAnsi="仿宋_GB2312" w:eastAsia="仿宋_GB2312" w:cs="仿宋_GB2312"/>
          <w:color w:val="auto"/>
          <w:sz w:val="32"/>
          <w:szCs w:val="32"/>
          <w:lang w:eastAsia="zh-CN"/>
        </w:rPr>
        <w:t>的规定，</w:t>
      </w:r>
      <w:r>
        <w:rPr>
          <w:rFonts w:hint="eastAsia" w:ascii="仿宋_GB2312" w:hAnsi="仿宋_GB2312" w:eastAsia="仿宋_GB2312" w:cs="仿宋_GB2312"/>
          <w:kern w:val="0"/>
          <w:sz w:val="32"/>
          <w:szCs w:val="32"/>
          <w:lang w:val="en-US" w:eastAsia="zh-CN"/>
        </w:rPr>
        <w:t>综合考虑个案情况，坚持处罚与教育相结合的原则，</w:t>
      </w:r>
      <w:r>
        <w:rPr>
          <w:rFonts w:hint="eastAsia" w:ascii="仿宋_GB2312" w:hAnsi="仿宋_GB2312" w:eastAsia="仿宋_GB2312" w:cs="仿宋_GB2312"/>
          <w:spacing w:val="0"/>
          <w:kern w:val="0"/>
          <w:sz w:val="32"/>
          <w:szCs w:val="32"/>
          <w:lang w:val="en-US" w:eastAsia="zh-CN"/>
        </w:rPr>
        <w:t>决定对当事人</w:t>
      </w:r>
      <w:r>
        <w:rPr>
          <w:rFonts w:hint="eastAsia" w:ascii="仿宋_GB2312" w:hAnsi="仿宋_GB2312" w:eastAsia="仿宋_GB2312" w:cs="仿宋_GB2312"/>
          <w:bCs/>
          <w:spacing w:val="0"/>
          <w:sz w:val="32"/>
          <w:szCs w:val="32"/>
          <w:lang w:val="en-US" w:eastAsia="zh-CN"/>
        </w:rPr>
        <w:t>未建立并执行进货查验记录制度销售化妆品的行为</w:t>
      </w:r>
      <w:r>
        <w:rPr>
          <w:rFonts w:hint="eastAsia" w:ascii="仿宋_GB2312" w:hAnsi="仿宋_GB2312" w:eastAsia="仿宋_GB2312" w:cs="仿宋_GB2312"/>
          <w:spacing w:val="0"/>
          <w:kern w:val="0"/>
          <w:sz w:val="32"/>
          <w:szCs w:val="32"/>
          <w:lang w:val="en-US" w:eastAsia="zh-CN"/>
        </w:rPr>
        <w:t>给予减轻行政处罚。</w:t>
      </w:r>
      <w:r>
        <w:rPr>
          <w:rFonts w:hint="eastAsia" w:ascii="仿宋_GB2312" w:hAnsi="仿宋_GB2312" w:eastAsia="仿宋_GB2312" w:cs="仿宋_GB2312"/>
          <w:spacing w:val="0"/>
          <w:kern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0"/>
          <w:sz w:val="32"/>
          <w:szCs w:val="32"/>
          <w:lang w:eastAsia="zh-CN"/>
        </w:rPr>
        <w:t>对当事人未</w:t>
      </w:r>
      <w:r>
        <w:rPr>
          <w:rFonts w:hint="eastAsia" w:ascii="仿宋_GB2312" w:hAnsi="仿宋_GB2312" w:eastAsia="仿宋_GB2312" w:cs="仿宋_GB2312"/>
          <w:spacing w:val="0"/>
          <w:kern w:val="0"/>
          <w:sz w:val="32"/>
          <w:szCs w:val="32"/>
          <w:lang w:val="en-US" w:eastAsia="zh-CN"/>
        </w:rPr>
        <w:t>建立并执行进货查验记录制度</w:t>
      </w:r>
      <w:r>
        <w:rPr>
          <w:rFonts w:hint="eastAsia" w:ascii="仿宋_GB2312" w:hAnsi="仿宋_GB2312" w:eastAsia="仿宋_GB2312" w:cs="仿宋_GB2312"/>
          <w:kern w:val="0"/>
          <w:sz w:val="32"/>
          <w:szCs w:val="32"/>
          <w:lang w:val="en-US" w:eastAsia="zh-CN"/>
        </w:rPr>
        <w:t>销售化妆品的</w:t>
      </w:r>
      <w:r>
        <w:rPr>
          <w:rFonts w:hint="eastAsia" w:ascii="仿宋_GB2312" w:hAnsi="仿宋_GB2312" w:eastAsia="仿宋_GB2312" w:cs="仿宋_GB2312"/>
          <w:kern w:val="0"/>
          <w:sz w:val="32"/>
          <w:szCs w:val="32"/>
          <w:lang w:eastAsia="zh-CN"/>
        </w:rPr>
        <w:t>行为，依据《化妆品监督管理条例》第六十二条第一款第二项：“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的规定，</w:t>
      </w:r>
      <w:r>
        <w:rPr>
          <w:rFonts w:hint="eastAsia" w:ascii="仿宋_GB2312" w:hAnsi="仿宋_GB2312" w:eastAsia="仿宋_GB2312" w:cs="仿宋_GB2312"/>
          <w:kern w:val="0"/>
          <w:sz w:val="32"/>
          <w:szCs w:val="32"/>
          <w:lang w:val="en-US" w:eastAsia="zh-CN"/>
        </w:rPr>
        <w:t>责令当事人改正违法行为，</w:t>
      </w:r>
      <w:r>
        <w:rPr>
          <w:rFonts w:hint="eastAsia" w:ascii="仿宋_GB2312" w:hAnsi="仿宋_GB2312" w:eastAsia="仿宋_GB2312" w:cs="仿宋_GB2312"/>
          <w:spacing w:val="0"/>
          <w:sz w:val="32"/>
          <w:szCs w:val="32"/>
          <w:lang w:eastAsia="zh-CN"/>
        </w:rPr>
        <w:t>决定</w:t>
      </w:r>
      <w:r>
        <w:rPr>
          <w:rFonts w:hint="eastAsia" w:ascii="仿宋_GB2312" w:hAnsi="仿宋_GB2312" w:eastAsia="仿宋_GB2312" w:cs="仿宋_GB2312"/>
          <w:spacing w:val="0"/>
          <w:sz w:val="32"/>
          <w:szCs w:val="32"/>
        </w:rPr>
        <w:t>对当事人处罚如下：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警告；</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pacing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000元罚款</w:t>
      </w:r>
      <w:r>
        <w:rPr>
          <w:rFonts w:hint="eastAsia" w:ascii="仿宋_GB2312" w:hAnsi="仿宋_GB2312" w:eastAsia="仿宋_GB2312" w:cs="仿宋_GB2312"/>
          <w:spacing w:val="0"/>
          <w:sz w:val="32"/>
          <w:szCs w:val="32"/>
          <w:lang w:eastAsia="zh-CN"/>
        </w:rPr>
        <w:t>。</w:t>
      </w:r>
    </w:p>
    <w:p>
      <w:pPr>
        <w:keepNext w:val="0"/>
        <w:keepLines w:val="0"/>
        <w:pageBreakBefore w:val="0"/>
        <w:widowControl/>
        <w:suppressLineNumbers w:val="0"/>
        <w:kinsoku/>
        <w:wordWrap/>
        <w:overflowPunct/>
        <w:topLinePunct w:val="0"/>
        <w:autoSpaceDE/>
        <w:autoSpaceDN/>
        <w:bidi w:val="0"/>
        <w:spacing w:line="560" w:lineRule="exact"/>
        <w:ind w:left="0" w:righ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pacing w:val="0"/>
          <w:sz w:val="32"/>
          <w:szCs w:val="32"/>
          <w:lang w:eastAsia="zh-CN"/>
        </w:rPr>
        <w:t>对</w:t>
      </w:r>
      <w:r>
        <w:rPr>
          <w:rFonts w:hint="eastAsia" w:ascii="仿宋_GB2312" w:hAnsi="仿宋_GB2312" w:eastAsia="仿宋_GB2312" w:cs="仿宋_GB2312"/>
          <w:kern w:val="0"/>
          <w:sz w:val="32"/>
          <w:szCs w:val="32"/>
          <w:lang w:eastAsia="zh-CN"/>
        </w:rPr>
        <w:t>当事人销售</w:t>
      </w:r>
      <w:r>
        <w:rPr>
          <w:rFonts w:hint="eastAsia" w:ascii="仿宋_GB2312" w:hAnsi="仿宋_GB2312" w:eastAsia="仿宋_GB2312" w:cs="仿宋_GB2312"/>
          <w:kern w:val="0"/>
          <w:sz w:val="32"/>
          <w:szCs w:val="32"/>
          <w:lang w:val="en-US" w:eastAsia="zh-CN"/>
        </w:rPr>
        <w:t>包装标签标识不符合规定的日用品的行为，</w:t>
      </w:r>
      <w:r>
        <w:rPr>
          <w:rFonts w:hint="eastAsia" w:ascii="仿宋_GB2312" w:hAnsi="仿宋_GB2312" w:eastAsia="仿宋_GB2312" w:cs="仿宋_GB2312"/>
          <w:kern w:val="0"/>
          <w:sz w:val="32"/>
          <w:szCs w:val="32"/>
          <w:lang w:eastAsia="zh-CN"/>
        </w:rPr>
        <w:t>依据《中华人民共和国产品质量法》第五十四条：“产品标识不符合本法第二十七条规定的，责令改正；有包装的产品标识不符合本法第二十七条第（四）项、第（五）项规定，情节严重的，责令停止生产、销售，并处违法生产、销售产品货值金额30%以下的罚款；有违法所得的，并处没收违法所得。”的规定，</w:t>
      </w:r>
      <w:r>
        <w:rPr>
          <w:rFonts w:hint="eastAsia" w:ascii="仿宋_GB2312" w:hAnsi="仿宋_GB2312" w:eastAsia="仿宋_GB2312" w:cs="仿宋_GB2312"/>
          <w:spacing w:val="0"/>
          <w:sz w:val="32"/>
          <w:szCs w:val="32"/>
        </w:rPr>
        <w:t>责令当事人改正违法经营行为</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如</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不服本行政处罚决定，可以在收到本行政处罚决定书之日起六十日内向</w:t>
      </w:r>
      <w:r>
        <w:rPr>
          <w:rFonts w:hint="eastAsia" w:ascii="仿宋_GB2312" w:hAnsi="仿宋_GB2312" w:eastAsia="仿宋_GB2312" w:cs="仿宋_GB2312"/>
          <w:spacing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rPr>
        <w:t>申请行政复议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也可以在六个月内依法向</w:t>
      </w:r>
      <w:r>
        <w:rPr>
          <w:rFonts w:hint="eastAsia" w:ascii="仿宋_GB2312" w:hAnsi="仿宋_GB2312" w:eastAsia="仿宋_GB2312" w:cs="仿宋_GB2312"/>
          <w:spacing w:val="0"/>
          <w:sz w:val="32"/>
          <w:szCs w:val="32"/>
          <w:lang w:val="en-US" w:eastAsia="zh-CN"/>
        </w:rPr>
        <w:t>乌苏市</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地址：乌苏市新市区长江路140号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3840" w:firstLineChars="12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lang w:val="en-US" w:eastAsia="zh-CN"/>
        </w:rPr>
        <w:t xml:space="preserve">                          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8</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13</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0288"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0288;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ascii="Times New Roman" w:hAnsi="Mongolian Baiti" w:eastAsia="方正小标宋简体" w:cs="Mongolian Baiti"/>
          <w:bCs/>
          <w:color w:val="000000"/>
          <w:sz w:val="44"/>
          <w:szCs w:val="44"/>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1312;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000000"/>
    <w:rsid w:val="06093397"/>
    <w:rsid w:val="06176F90"/>
    <w:rsid w:val="071568AB"/>
    <w:rsid w:val="17A34B99"/>
    <w:rsid w:val="1E5C0E57"/>
    <w:rsid w:val="228466D9"/>
    <w:rsid w:val="243031D0"/>
    <w:rsid w:val="2CF20810"/>
    <w:rsid w:val="2EF65230"/>
    <w:rsid w:val="305A0361"/>
    <w:rsid w:val="33183DBF"/>
    <w:rsid w:val="369736C3"/>
    <w:rsid w:val="449B239D"/>
    <w:rsid w:val="489F3A07"/>
    <w:rsid w:val="4B252B7D"/>
    <w:rsid w:val="4B33768B"/>
    <w:rsid w:val="4C5A2353"/>
    <w:rsid w:val="4EDF237F"/>
    <w:rsid w:val="52D341F1"/>
    <w:rsid w:val="53E52DB4"/>
    <w:rsid w:val="58F070CC"/>
    <w:rsid w:val="5C9B6E8E"/>
    <w:rsid w:val="5D2048B5"/>
    <w:rsid w:val="5E2C209A"/>
    <w:rsid w:val="678108A8"/>
    <w:rsid w:val="711922DA"/>
    <w:rsid w:val="729E7CBB"/>
    <w:rsid w:val="798E3ED6"/>
    <w:rsid w:val="7AD75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5265</Words>
  <Characters>5701</Characters>
  <Lines>0</Lines>
  <Paragraphs>0</Paragraphs>
  <TotalTime>23</TotalTime>
  <ScaleCrop>false</ScaleCrop>
  <LinksUpToDate>false</LinksUpToDate>
  <CharactersWithSpaces>6004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2025-08-11T03:09:00Z</dcterms:created>
  <dc:creator>Administrator</dc:creator>
  <cp:lastModifiedBy>喜文</cp:lastModifiedBy>
  <cp:lastPrinted>2025-08-11T05:38:00Z</cp:lastPrinted>
  <dcterms:modified xsi:type="dcterms:W3CDTF">2025-08-26T04:28:52Z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D7AC927CCD6141D182F2F705B0B0A85B</vt:lpwstr>
  </property>
  <property fmtid="{D5CDD505-2E9C-101B-9397-08002B2CF9AE}" pid="4" name="KSOTemplateDocerSaveRecord">
    <vt:lpwstr>eyJoZGlkIjoiMjhjYjA5MTE5ZDA4NTVkMjc4ZGUyZjQzZWU4NWQ2Y2YiLCJ1c2VySWQiOiI5NTE2MTA2NTAifQ==</vt:lpwstr>
  </property>
</Properties>
</file>