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60" w:lineRule="exact"/>
        <w:ind w:left="0" w:right="0" w:firstLine="0" w:firstLineChars="0"/>
        <w:jc w:val="center"/>
        <w:textAlignment w:val="auto"/>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bidi w:val="0"/>
        <w:spacing w:line="560" w:lineRule="exact"/>
        <w:ind w:left="0" w:right="0" w:firstLine="0" w:firstLineChars="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bidi w:val="0"/>
        <w:snapToGrid w:val="0"/>
        <w:spacing w:line="560" w:lineRule="exact"/>
        <w:ind w:left="0" w:right="0" w:firstLine="0" w:firstLineChars="0"/>
        <w:jc w:val="center"/>
        <w:textAlignment w:val="auto"/>
        <w:outlineLvl w:val="1"/>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lang w:eastAsia="zh-CN"/>
        </w:rPr>
        <w:t>塔乌</w:t>
      </w:r>
      <w:r>
        <w:rPr>
          <w:rFonts w:hint="eastAsia" w:ascii="仿宋_GB2312" w:hAnsi="仿宋_GB2312" w:eastAsia="仿宋_GB2312" w:cs="仿宋_GB2312"/>
          <w:bCs/>
          <w:color w:val="000000"/>
          <w:sz w:val="32"/>
          <w:szCs w:val="32"/>
          <w:u w:val="none"/>
        </w:rPr>
        <w:t>市监处罚〔</w:t>
      </w:r>
      <w:r>
        <w:rPr>
          <w:rFonts w:hint="eastAsia" w:ascii="仿宋_GB2312" w:hAnsi="仿宋_GB2312" w:eastAsia="仿宋_GB2312" w:cs="仿宋_GB2312"/>
          <w:bCs/>
          <w:color w:val="000000"/>
          <w:sz w:val="32"/>
          <w:szCs w:val="32"/>
          <w:u w:val="none"/>
          <w:lang w:val="en-US" w:eastAsia="zh-CN"/>
        </w:rPr>
        <w:t>2025</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144</w:t>
      </w:r>
      <w:r>
        <w:rPr>
          <w:rFonts w:hint="eastAsia" w:ascii="仿宋_GB2312" w:hAnsi="仿宋_GB2312" w:eastAsia="仿宋_GB2312" w:cs="仿宋_GB2312"/>
          <w:bCs/>
          <w:color w:val="000000"/>
          <w:sz w:val="32"/>
          <w:szCs w:val="32"/>
          <w:u w:val="none"/>
        </w:rPr>
        <w:t>号</w:t>
      </w:r>
    </w:p>
    <w:p>
      <w:pPr>
        <w:keepNext w:val="0"/>
        <w:keepLines w:val="0"/>
        <w:pageBreakBefore w:val="0"/>
        <w:widowControl/>
        <w:kinsoku/>
        <w:wordWrap/>
        <w:overflowPunct/>
        <w:topLinePunct w:val="0"/>
        <w:bidi w:val="0"/>
        <w:snapToGrid w:val="0"/>
        <w:spacing w:line="560" w:lineRule="exact"/>
        <w:ind w:left="0" w:right="0" w:firstLine="0" w:firstLineChars="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overflowPunct/>
        <w:topLinePunct w:val="0"/>
        <w:bidi w:val="0"/>
        <w:spacing w:line="560" w:lineRule="exact"/>
        <w:ind w:left="0" w:right="0" w:firstLine="0" w:firstLineChars="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spacing w:val="-11"/>
          <w:sz w:val="32"/>
          <w:szCs w:val="32"/>
          <w:lang w:val="en-US" w:eastAsia="zh-CN"/>
        </w:rPr>
        <w:t>乌苏市</w:t>
      </w:r>
      <w:r>
        <w:rPr>
          <w:rFonts w:hint="eastAsia" w:ascii="仿宋_GB2312" w:hAnsi="仿宋_GB2312" w:eastAsia="仿宋_GB2312" w:cs="仿宋_GB2312"/>
          <w:b w:val="0"/>
          <w:bCs w:val="0"/>
          <w:color w:val="auto"/>
          <w:spacing w:val="6"/>
          <w:kern w:val="1"/>
          <w:sz w:val="32"/>
          <w:szCs w:val="32"/>
          <w:u w:val="none"/>
          <w:lang w:val="en-US" w:eastAsia="zh-CN"/>
        </w:rPr>
        <w:t>新合作家佳乐金喜商店</w:t>
      </w:r>
    </w:p>
    <w:p>
      <w:pPr>
        <w:keepNext w:val="0"/>
        <w:keepLines w:val="0"/>
        <w:pageBreakBefore w:val="0"/>
        <w:kinsoku/>
        <w:wordWrap/>
        <w:overflowPunct/>
        <w:topLinePunct w:val="0"/>
        <w:bidi w:val="0"/>
        <w:spacing w:line="560" w:lineRule="exact"/>
        <w:ind w:left="0" w:right="0" w:firstLine="0" w:firstLineChars="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bCs/>
          <w:sz w:val="32"/>
          <w:szCs w:val="32"/>
          <w:lang w:eastAsia="zh-CN"/>
        </w:rPr>
        <w:t>《营业执照》</w:t>
      </w:r>
    </w:p>
    <w:p>
      <w:pPr>
        <w:keepNext w:val="0"/>
        <w:keepLines w:val="0"/>
        <w:pageBreakBefore w:val="0"/>
        <w:kinsoku/>
        <w:wordWrap/>
        <w:overflowPunct/>
        <w:topLinePunct w:val="0"/>
        <w:bidi w:val="0"/>
        <w:spacing w:line="560" w:lineRule="exact"/>
        <w:ind w:left="0" w:right="0" w:firstLine="0" w:firstLineChars="0"/>
        <w:jc w:val="both"/>
        <w:textAlignment w:val="auto"/>
        <w:rPr>
          <w:rFonts w:hint="eastAsia" w:ascii="仿宋_GB2312" w:hAnsi="仿宋_GB2312" w:eastAsia="仿宋_GB2312" w:cs="仿宋_GB2312"/>
          <w:bCs/>
          <w:color w:val="000000"/>
          <w:sz w:val="32"/>
          <w:szCs w:val="32"/>
          <w:u w:val="none"/>
          <w:lang w:val="en-US" w:eastAsia="zh-CN"/>
        </w:rPr>
      </w:pPr>
      <w:r>
        <w:rPr>
          <w:rFonts w:hint="eastAsia" w:ascii="仿宋_GB2312" w:hAnsi="仿宋_GB2312" w:eastAsia="仿宋_GB2312" w:cs="仿宋_GB2312"/>
          <w:spacing w:val="0"/>
          <w:sz w:val="32"/>
          <w:szCs w:val="32"/>
          <w:u w:val="none" w:color="auto"/>
          <w:lang w:val="en-US" w:eastAsia="zh-CN"/>
        </w:rPr>
        <w:t>登记号：</w:t>
      </w:r>
      <w:r>
        <w:rPr>
          <w:rFonts w:hint="eastAsia" w:ascii="仿宋_GB2312" w:hAnsi="仿宋_GB2312" w:eastAsia="仿宋_GB2312" w:cs="仿宋_GB2312"/>
          <w:spacing w:val="-17"/>
          <w:sz w:val="32"/>
          <w:szCs w:val="32"/>
          <w:lang w:val="en-US" w:eastAsia="zh-CN"/>
        </w:rPr>
        <w:t>92654202MA79MFPAXH</w:t>
      </w:r>
    </w:p>
    <w:p>
      <w:pPr>
        <w:keepNext w:val="0"/>
        <w:keepLines w:val="0"/>
        <w:pageBreakBefore w:val="0"/>
        <w:kinsoku/>
        <w:wordWrap/>
        <w:overflowPunct/>
        <w:topLinePunct w:val="0"/>
        <w:bidi w:val="0"/>
        <w:spacing w:line="560" w:lineRule="exact"/>
        <w:ind w:left="0" w:right="0" w:firstLine="0" w:firstLineChars="0"/>
        <w:jc w:val="both"/>
        <w:textAlignment w:val="auto"/>
        <w:rPr>
          <w:rFonts w:hint="eastAsia" w:ascii="仿宋_GB2312" w:hAnsi="仿宋_GB2312" w:eastAsia="仿宋_GB2312" w:cs="仿宋_GB2312"/>
          <w:bCs/>
          <w:color w:val="000000"/>
          <w:sz w:val="32"/>
          <w:szCs w:val="32"/>
          <w:u w:val="none"/>
          <w:lang w:val="en-US" w:eastAsia="zh-CN"/>
        </w:rPr>
      </w:pPr>
      <w:r>
        <w:rPr>
          <w:rFonts w:hint="eastAsia" w:ascii="仿宋_GB2312" w:hAnsi="仿宋_GB2312" w:eastAsia="仿宋_GB2312" w:cs="仿宋_GB2312"/>
          <w:kern w:val="1"/>
          <w:sz w:val="32"/>
          <w:szCs w:val="32"/>
        </w:rPr>
        <w:t>住所（住址）：</w:t>
      </w:r>
      <w:r>
        <w:rPr>
          <w:rFonts w:hint="eastAsia" w:ascii="仿宋_GB2312" w:hAnsi="仿宋_GB2312" w:eastAsia="仿宋_GB2312" w:cs="仿宋_GB2312"/>
          <w:color w:val="000000" w:themeColor="text1"/>
          <w:spacing w:val="0"/>
          <w:kern w:val="1"/>
          <w:sz w:val="32"/>
          <w:szCs w:val="32"/>
          <w:u w:val="none"/>
          <w:lang w:val="en-US" w:eastAsia="zh-CN"/>
          <w14:textFill>
            <w14:solidFill>
              <w14:schemeClr w14:val="tx1"/>
            </w14:solidFill>
          </w14:textFill>
        </w:rPr>
        <w:t>新疆塔城地区乌苏市西大沟镇振兴路079号（政府东侧）</w:t>
      </w:r>
    </w:p>
    <w:p>
      <w:pPr>
        <w:keepNext w:val="0"/>
        <w:keepLines w:val="0"/>
        <w:pageBreakBefore w:val="0"/>
        <w:kinsoku/>
        <w:wordWrap/>
        <w:overflowPunct/>
        <w:topLinePunct w:val="0"/>
        <w:bidi w:val="0"/>
        <w:spacing w:line="560" w:lineRule="exact"/>
        <w:ind w:left="0" w:right="0" w:firstLine="0" w:firstLineChars="0"/>
        <w:jc w:val="both"/>
        <w:textAlignment w:val="auto"/>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eastAsia="zh-CN"/>
        </w:rPr>
        <w:t>经营者</w:t>
      </w:r>
      <w:r>
        <w:rPr>
          <w:rFonts w:hint="eastAsia" w:ascii="仿宋_GB2312" w:hAnsi="仿宋_GB2312" w:eastAsia="仿宋_GB2312" w:cs="仿宋_GB2312"/>
          <w:kern w:val="1"/>
          <w:sz w:val="32"/>
          <w:szCs w:val="32"/>
        </w:rPr>
        <w:t>：</w:t>
      </w:r>
      <w:r>
        <w:rPr>
          <w:rFonts w:hint="eastAsia" w:ascii="仿宋_GB2312" w:hAnsi="仿宋_GB2312" w:eastAsia="仿宋_GB2312" w:cs="仿宋_GB2312"/>
          <w:spacing w:val="-11"/>
          <w:sz w:val="32"/>
          <w:szCs w:val="32"/>
          <w:lang w:val="en-US" w:eastAsia="zh-CN"/>
        </w:rPr>
        <w:t xml:space="preserve">卢**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color w:val="auto"/>
          <w:spacing w:val="6"/>
          <w:kern w:val="1"/>
          <w:sz w:val="32"/>
          <w:szCs w:val="32"/>
          <w:u w:val="none"/>
          <w:lang w:val="en-US" w:eastAsia="zh-CN"/>
        </w:rPr>
      </w:pPr>
      <w:r>
        <w:rPr>
          <w:rFonts w:hint="eastAsia" w:ascii="仿宋_GB2312" w:hAnsi="仿宋_GB2312" w:eastAsia="仿宋_GB2312" w:cs="仿宋_GB2312"/>
          <w:color w:val="000000" w:themeColor="text1"/>
          <w:spacing w:val="0"/>
          <w:kern w:val="1"/>
          <w:sz w:val="32"/>
          <w:szCs w:val="32"/>
          <w:u w:val="none"/>
          <w:lang w:val="en-US" w:eastAsia="zh-CN"/>
          <w14:textFill>
            <w14:solidFill>
              <w14:schemeClr w14:val="tx1"/>
            </w14:solidFill>
          </w14:textFill>
        </w:rPr>
        <w:t>2025年5月7日，我局执法人员根据投诉举报线索来到位于新疆塔城地区乌苏市西大沟镇振兴路079号的</w:t>
      </w:r>
      <w:r>
        <w:rPr>
          <w:rFonts w:hint="eastAsia" w:ascii="仿宋_GB2312" w:hAnsi="仿宋_GB2312" w:eastAsia="仿宋_GB2312" w:cs="仿宋_GB2312"/>
          <w:spacing w:val="-11"/>
          <w:sz w:val="32"/>
          <w:szCs w:val="32"/>
          <w:lang w:val="en-US" w:eastAsia="zh-CN"/>
        </w:rPr>
        <w:t>乌苏市</w:t>
      </w:r>
      <w:r>
        <w:rPr>
          <w:rFonts w:hint="eastAsia" w:ascii="仿宋_GB2312" w:hAnsi="仿宋_GB2312" w:eastAsia="仿宋_GB2312" w:cs="仿宋_GB2312"/>
          <w:b w:val="0"/>
          <w:bCs w:val="0"/>
          <w:color w:val="auto"/>
          <w:spacing w:val="6"/>
          <w:kern w:val="1"/>
          <w:sz w:val="32"/>
          <w:szCs w:val="32"/>
          <w:u w:val="none"/>
          <w:lang w:val="en-US" w:eastAsia="zh-CN"/>
        </w:rPr>
        <w:t xml:space="preserve">新合作家佳乐金喜商店进行监督检查，执法人员向该店经营者卢**出示行政执法证件并说明来意后，在卢**的全程配合下开展检查，执法人员在该店槟榔销售专柜检查发现：产品名称：槟榔干（金石之交），净含量：48克，保质期：60天，该产品喷码区内容：长沙 250124C2P01-040301 生产日期：2025/4/26E，合格；条形码：6977653009985，数量：4包，销售价格：50元/包，受委托方：邵阳口味王科技发展有限公司，生产厂址：湖南省邵阳市双清区宝庆工业集中区（代号E）。 </w:t>
      </w:r>
    </w:p>
    <w:p>
      <w:pPr>
        <w:keepNext w:val="0"/>
        <w:keepLines w:val="0"/>
        <w:pageBreakBefore w:val="0"/>
        <w:widowControl w:val="0"/>
        <w:kinsoku/>
        <w:wordWrap/>
        <w:overflowPunct/>
        <w:topLinePunct w:val="0"/>
        <w:autoSpaceDE/>
        <w:autoSpaceDN/>
        <w:bidi w:val="0"/>
        <w:adjustRightInd/>
        <w:snapToGrid/>
        <w:spacing w:line="560" w:lineRule="exact"/>
        <w:ind w:left="0" w:right="0" w:firstLine="664" w:firstLineChars="200"/>
        <w:jc w:val="both"/>
        <w:textAlignment w:val="auto"/>
        <w:rPr>
          <w:rFonts w:hint="eastAsia" w:ascii="仿宋_GB2312" w:hAnsi="仿宋_GB2312" w:eastAsia="仿宋_GB2312" w:cs="仿宋_GB2312"/>
          <w:b w:val="0"/>
          <w:bCs w:val="0"/>
          <w:color w:val="auto"/>
          <w:spacing w:val="6"/>
          <w:kern w:val="1"/>
          <w:sz w:val="32"/>
          <w:szCs w:val="32"/>
          <w:u w:val="none"/>
          <w:lang w:val="en-US" w:eastAsia="zh-CN"/>
        </w:rPr>
      </w:pPr>
      <w:r>
        <w:rPr>
          <w:rFonts w:hint="eastAsia" w:ascii="仿宋_GB2312" w:hAnsi="仿宋_GB2312" w:eastAsia="仿宋_GB2312" w:cs="仿宋_GB2312"/>
          <w:b w:val="0"/>
          <w:bCs w:val="0"/>
          <w:color w:val="auto"/>
          <w:spacing w:val="6"/>
          <w:kern w:val="1"/>
          <w:sz w:val="32"/>
          <w:szCs w:val="32"/>
          <w:u w:val="none"/>
          <w:lang w:val="en-US" w:eastAsia="zh-CN"/>
        </w:rPr>
        <w:t>执法人员现场通过“和成天下”微信小程序扫描包装二维码显示：您购买的商品非我公司正品商品，无法参与活动。经报局领导同意，执法人员现场对上述商标侵权的食品实施了扣押的行政强制措施，并向当事人下发了《实施行政强制措施决定书》（乌苏监强制</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color w:val="auto"/>
          <w:spacing w:val="6"/>
          <w:kern w:val="1"/>
          <w:sz w:val="32"/>
          <w:szCs w:val="32"/>
          <w:u w:val="none"/>
          <w:lang w:val="en-US" w:eastAsia="zh-CN"/>
        </w:rPr>
        <w:t>2025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auto"/>
          <w:spacing w:val="6"/>
          <w:kern w:val="1"/>
          <w:sz w:val="32"/>
          <w:szCs w:val="32"/>
          <w:u w:val="none"/>
          <w:lang w:val="en-US" w:eastAsia="zh-CN"/>
        </w:rPr>
        <w:t>56号）以及财务清单（文书编号：</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color w:val="auto"/>
          <w:spacing w:val="6"/>
          <w:kern w:val="1"/>
          <w:sz w:val="32"/>
          <w:szCs w:val="32"/>
          <w:u w:val="none"/>
          <w:lang w:val="en-US" w:eastAsia="zh-CN"/>
        </w:rPr>
        <w:t>2025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auto"/>
          <w:spacing w:val="6"/>
          <w:kern w:val="1"/>
          <w:sz w:val="32"/>
          <w:szCs w:val="32"/>
          <w:u w:val="none"/>
          <w:lang w:val="en-US" w:eastAsia="zh-CN"/>
        </w:rPr>
        <w:t>0507-2号）。</w:t>
      </w:r>
    </w:p>
    <w:p>
      <w:pPr>
        <w:keepNext w:val="0"/>
        <w:keepLines w:val="0"/>
        <w:pageBreakBefore w:val="0"/>
        <w:widowControl w:val="0"/>
        <w:kinsoku/>
        <w:wordWrap/>
        <w:overflowPunct/>
        <w:topLinePunct w:val="0"/>
        <w:autoSpaceDE/>
        <w:autoSpaceDN/>
        <w:bidi w:val="0"/>
        <w:adjustRightInd/>
        <w:snapToGrid/>
        <w:spacing w:line="560" w:lineRule="exact"/>
        <w:ind w:left="0" w:right="0" w:firstLine="664" w:firstLineChars="200"/>
        <w:jc w:val="both"/>
        <w:textAlignment w:val="auto"/>
        <w:rPr>
          <w:rFonts w:hint="eastAsia" w:ascii="仿宋_GB2312" w:hAnsi="仿宋_GB2312" w:eastAsia="仿宋_GB2312" w:cs="仿宋_GB2312"/>
          <w:b w:val="0"/>
          <w:bCs w:val="0"/>
          <w:color w:val="auto"/>
          <w:spacing w:val="6"/>
          <w:kern w:val="1"/>
          <w:sz w:val="32"/>
          <w:szCs w:val="32"/>
          <w:u w:val="none"/>
          <w:lang w:val="en-US" w:eastAsia="zh-CN"/>
        </w:rPr>
      </w:pPr>
      <w:r>
        <w:rPr>
          <w:rFonts w:hint="eastAsia" w:ascii="仿宋_GB2312" w:hAnsi="仿宋_GB2312" w:eastAsia="仿宋_GB2312" w:cs="仿宋_GB2312"/>
          <w:b w:val="0"/>
          <w:bCs w:val="0"/>
          <w:color w:val="auto"/>
          <w:spacing w:val="6"/>
          <w:kern w:val="1"/>
          <w:sz w:val="32"/>
          <w:szCs w:val="32"/>
          <w:u w:val="none"/>
          <w:lang w:val="en-US" w:eastAsia="zh-CN"/>
        </w:rPr>
        <w:t>2025年5月17日，我局依法委托海南和成天下科技发展有限公司对该批“槟榔和成天下（金石之交）”进行辨认，2025年6月1日我局执法人员收到了海南和成天下科技发展有限公司出具的辨认报告内容为：辨认过程：2025年5月19日，我公司受乌苏市市场监督管理局委托，对标识为和成天下的“槟榔和成天下（金石之交）”样品进行综合辨认，辨认情况如下：1、委托方提供的“槟榔干和成天下（金石之交）”1包，喷码信息为：长沙250124C2P01-040301生产日期：2025/4/26/E，合格，委托方提供以上产品喷码信息，经查实我公司当前未生产委托方提供的产品喷码信息；外袋信息：1、委托方提供的“槟榔干和成天下（金石之交）”扫码背后二维码后，网址由“ygv1.kxwb1.cn”提供，与我公司口味王会员中心程序完全不同；2、委托辨认的产品包装装潢、商标“和成天下®”、包装上标注的厂名厂址与我公司生产销售产品的包装装潢、商标“和成天下®”、包装上标注的厂名厂址完全相同。辨认结论为：委托方提供的“槟榔和成天下（金石之交）”以上产品不是我公司生产销售，也不是我公司授权生产销售的产品，此产品系侵犯我公司商标注册专用权的商品。</w:t>
      </w:r>
    </w:p>
    <w:p>
      <w:pPr>
        <w:pStyle w:val="2"/>
        <w:keepNext w:val="0"/>
        <w:keepLines w:val="0"/>
        <w:pageBreakBefore w:val="0"/>
        <w:tabs>
          <w:tab w:val="left" w:pos="8240"/>
        </w:tabs>
        <w:kinsoku/>
        <w:wordWrap/>
        <w:overflowPunct/>
        <w:topLinePunct w:val="0"/>
        <w:bidi w:val="0"/>
        <w:spacing w:line="560" w:lineRule="exact"/>
        <w:ind w:left="0" w:right="0" w:firstLine="664" w:firstLineChars="200"/>
        <w:jc w:val="both"/>
        <w:textAlignment w:val="auto"/>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b w:val="0"/>
          <w:bCs w:val="0"/>
          <w:color w:val="auto"/>
          <w:spacing w:val="6"/>
          <w:kern w:val="1"/>
          <w:sz w:val="32"/>
          <w:szCs w:val="32"/>
          <w:u w:val="none"/>
          <w:lang w:val="en-US" w:eastAsia="zh-CN"/>
        </w:rPr>
        <w:t>当事人的上述行为违反了《中华人民共和国商标法》第五十七条第三项的规定。经报局领导批准，于2025年6月4日立案，并指派艾依本、海山对此案进行调查了解，本案于2025年6月12日调查终结</w:t>
      </w:r>
      <w:r>
        <w:rPr>
          <w:rFonts w:hint="eastAsia" w:ascii="仿宋_GB2312" w:hAnsi="仿宋_GB2312" w:eastAsia="仿宋_GB2312" w:cs="仿宋_GB2312"/>
          <w:kern w:val="1"/>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sz w:val="32"/>
          <w:szCs w:val="32"/>
          <w:lang w:val="en-US" w:eastAsia="zh-CN"/>
        </w:rPr>
        <w:t>经查，2025年4月25日，当事人以上门推销的方式从奎屯市一流动商贩处购进</w:t>
      </w:r>
      <w:r>
        <w:rPr>
          <w:rFonts w:hint="eastAsia" w:ascii="仿宋_GB2312" w:hAnsi="仿宋_GB2312" w:eastAsia="仿宋_GB2312" w:cs="仿宋_GB2312"/>
          <w:b w:val="0"/>
          <w:bCs w:val="0"/>
          <w:color w:val="auto"/>
          <w:spacing w:val="6"/>
          <w:kern w:val="1"/>
          <w:sz w:val="32"/>
          <w:szCs w:val="32"/>
          <w:u w:val="none"/>
          <w:lang w:val="en-US" w:eastAsia="zh-CN"/>
        </w:rPr>
        <w:t>槟榔干“和成天下（金石之交）”5袋，购进价为43元/袋，包装标示：长沙250124C2P01-040301，生产日期：2025/4/26/E，合格，净含量：48克/包。截至查获时，当事人已销售该槟榔干1袋，剩余4袋在店内销售，销售价格：50元/袋。当事人只提供了进货票据，但票据内容仅填写了进货数量、价格等信息，无供货商信息。当事人也未能提供上述商品供货者的市场主体登记证明、产品出厂检验合格证明、销售记录等相关证明文件。经海南和成天下科技发展有限公司辨认，上述槟榔干“和成天下（金石之交）”系侵犯海南和成天下科技发展有限公司商标注册专用权产品。根据《中华人民共和国商标法实施条例》第七十六条“计算商标法第六十条规定的违法经营额，可以考虑下列因素：（一）侵权商品的销售价格；（二）未销售侵权商品的标价；（三）已查清侵权商品实际销售的平均价格；（四）被侵权商品的市场中间价格；（五）侵犯人因侵权所产生的营业收入；（六）其他能够合理计算侵权商品价值的因素。”的规定，当事人销售的该批侵犯注册商标专用权槟榔干的违法经营额为250元（5袋×50元/袋=250元）。当事人已构成销售侵犯注册商标专用权槟榔的违法行为。当事人在现场、调查笔录上签字确认，未提出异议</w:t>
      </w:r>
      <w:r>
        <w:rPr>
          <w:rFonts w:hint="eastAsia" w:ascii="仿宋_GB2312" w:hAnsi="仿宋_GB2312" w:eastAsia="仿宋_GB2312" w:cs="仿宋_GB2312"/>
          <w:kern w:val="1"/>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上述事实，主要有以下证据证明：</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6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0"/>
          <w:sz w:val="32"/>
          <w:szCs w:val="32"/>
        </w:rPr>
        <w:t>当事人提供的</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营业执照</w:t>
      </w:r>
      <w:r>
        <w:rPr>
          <w:rFonts w:hint="eastAsia" w:ascii="仿宋_GB2312" w:hAnsi="仿宋_GB2312" w:eastAsia="仿宋_GB2312" w:cs="仿宋_GB2312"/>
          <w:spacing w:val="0"/>
          <w:sz w:val="32"/>
          <w:szCs w:val="32"/>
          <w:lang w:eastAsia="zh-CN"/>
        </w:rPr>
        <w:t>》《</w:t>
      </w:r>
      <w:bookmarkStart w:id="11" w:name="_GoBack"/>
      <w:bookmarkEnd w:id="11"/>
      <w:r>
        <w:rPr>
          <w:rFonts w:hint="eastAsia" w:ascii="仿宋_GB2312" w:hAnsi="仿宋_GB2312" w:eastAsia="仿宋_GB2312" w:cs="仿宋_GB2312"/>
          <w:spacing w:val="0"/>
          <w:sz w:val="32"/>
          <w:szCs w:val="32"/>
          <w:lang w:eastAsia="zh-CN"/>
        </w:rPr>
        <w:t>食品经营许可证》</w:t>
      </w:r>
      <w:r>
        <w:rPr>
          <w:rFonts w:hint="eastAsia" w:ascii="仿宋_GB2312" w:hAnsi="仿宋_GB2312" w:eastAsia="仿宋_GB2312" w:cs="仿宋_GB2312"/>
          <w:spacing w:val="0"/>
          <w:sz w:val="32"/>
          <w:szCs w:val="32"/>
        </w:rPr>
        <w:t>复印件</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lang w:eastAsia="zh-CN"/>
        </w:rPr>
        <w:t>份</w:t>
      </w:r>
      <w:r>
        <w:rPr>
          <w:rFonts w:hint="eastAsia" w:ascii="仿宋_GB2312" w:hAnsi="仿宋_GB2312" w:eastAsia="仿宋_GB2312" w:cs="仿宋_GB2312"/>
          <w:spacing w:val="0"/>
          <w:sz w:val="32"/>
          <w:szCs w:val="32"/>
        </w:rPr>
        <w:t>，证明当事人的经营主体资格</w:t>
      </w:r>
      <w:r>
        <w:rPr>
          <w:rFonts w:hint="eastAsia" w:ascii="仿宋_GB2312" w:hAnsi="仿宋_GB2312" w:eastAsia="仿宋_GB2312" w:cs="仿宋_GB2312"/>
          <w:spacing w:val="0"/>
          <w:sz w:val="32"/>
          <w:szCs w:val="32"/>
          <w:lang w:eastAsia="zh-CN"/>
        </w:rPr>
        <w:t>和经营范围</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pacing w:val="6"/>
          <w:sz w:val="32"/>
          <w:szCs w:val="32"/>
        </w:rPr>
        <w:t>当事人身份证复印件</w:t>
      </w: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lang w:eastAsia="zh-CN"/>
        </w:rPr>
        <w:t>份</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eastAsia="zh-CN"/>
        </w:rPr>
        <w:t>由当事人提供，</w:t>
      </w:r>
      <w:r>
        <w:rPr>
          <w:rFonts w:hint="eastAsia" w:ascii="仿宋_GB2312" w:hAnsi="仿宋_GB2312" w:eastAsia="仿宋_GB2312" w:cs="仿宋_GB2312"/>
          <w:spacing w:val="6"/>
          <w:sz w:val="32"/>
          <w:szCs w:val="32"/>
        </w:rPr>
        <w:t>证明当事人的身</w:t>
      </w:r>
      <w:r>
        <w:rPr>
          <w:rFonts w:hint="eastAsia" w:ascii="仿宋_GB2312" w:hAnsi="仿宋_GB2312" w:eastAsia="仿宋_GB2312" w:cs="仿宋_GB2312"/>
          <w:sz w:val="32"/>
          <w:szCs w:val="32"/>
        </w:rPr>
        <w:t>份信息与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》《食品经营许可证》核准</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信息相符</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pacing w:val="6"/>
          <w:sz w:val="32"/>
          <w:szCs w:val="32"/>
          <w:lang w:eastAsia="zh-CN"/>
        </w:rPr>
        <w:t>现场笔录</w:t>
      </w: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lang w:eastAsia="zh-CN"/>
        </w:rPr>
        <w:t>份，证明</w:t>
      </w:r>
      <w:r>
        <w:rPr>
          <w:rFonts w:hint="eastAsia" w:ascii="仿宋_GB2312" w:hAnsi="仿宋_GB2312" w:eastAsia="仿宋_GB2312" w:cs="仿宋_GB2312"/>
          <w:spacing w:val="6"/>
          <w:sz w:val="32"/>
          <w:szCs w:val="32"/>
        </w:rPr>
        <w:t>执法人员</w:t>
      </w:r>
      <w:r>
        <w:rPr>
          <w:rFonts w:hint="eastAsia" w:ascii="仿宋_GB2312" w:hAnsi="仿宋_GB2312" w:eastAsia="仿宋_GB2312" w:cs="仿宋_GB2312"/>
          <w:spacing w:val="6"/>
          <w:sz w:val="32"/>
          <w:szCs w:val="32"/>
          <w:lang w:eastAsia="zh-CN"/>
        </w:rPr>
        <w:t>对</w:t>
      </w:r>
      <w:r>
        <w:rPr>
          <w:rFonts w:hint="eastAsia" w:ascii="仿宋_GB2312" w:hAnsi="仿宋_GB2312" w:eastAsia="仿宋_GB2312" w:cs="仿宋_GB2312"/>
          <w:spacing w:val="-11"/>
          <w:sz w:val="32"/>
          <w:szCs w:val="32"/>
          <w:lang w:val="en-US" w:eastAsia="zh-CN"/>
        </w:rPr>
        <w:t>乌苏市</w:t>
      </w:r>
      <w:r>
        <w:rPr>
          <w:rFonts w:hint="eastAsia" w:ascii="仿宋_GB2312" w:hAnsi="仿宋_GB2312" w:eastAsia="仿宋_GB2312" w:cs="仿宋_GB2312"/>
          <w:b w:val="0"/>
          <w:bCs w:val="0"/>
          <w:color w:val="auto"/>
          <w:spacing w:val="6"/>
          <w:kern w:val="1"/>
          <w:sz w:val="32"/>
          <w:szCs w:val="32"/>
          <w:u w:val="none"/>
          <w:lang w:val="en-US" w:eastAsia="zh-CN"/>
        </w:rPr>
        <w:t>新合作家佳乐金喜商店进行现场检查发现当事人销售侵犯</w:t>
      </w:r>
      <w:r>
        <w:rPr>
          <w:rFonts w:hint="eastAsia" w:ascii="仿宋_GB2312" w:hAnsi="仿宋_GB2312" w:eastAsia="仿宋_GB2312" w:cs="仿宋_GB2312"/>
          <w:spacing w:val="0"/>
          <w:sz w:val="32"/>
          <w:szCs w:val="32"/>
          <w:lang w:eastAsia="zh-CN"/>
        </w:rPr>
        <w:t>海南和成天下科技发展有限公司</w:t>
      </w:r>
      <w:r>
        <w:rPr>
          <w:rFonts w:hint="eastAsia" w:ascii="仿宋_GB2312" w:hAnsi="仿宋_GB2312" w:eastAsia="仿宋_GB2312" w:cs="仿宋_GB2312"/>
          <w:b w:val="0"/>
          <w:bCs w:val="0"/>
          <w:color w:val="auto"/>
          <w:spacing w:val="0"/>
          <w:kern w:val="1"/>
          <w:sz w:val="32"/>
          <w:szCs w:val="32"/>
          <w:u w:val="none"/>
          <w:lang w:val="en-US" w:eastAsia="zh-CN"/>
        </w:rPr>
        <w:t>商标专用权</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b w:val="0"/>
          <w:bCs w:val="0"/>
          <w:color w:val="auto"/>
          <w:spacing w:val="0"/>
          <w:kern w:val="1"/>
          <w:sz w:val="32"/>
          <w:szCs w:val="32"/>
          <w:u w:val="none"/>
          <w:lang w:val="en-US" w:eastAsia="zh-CN"/>
        </w:rPr>
        <w:t>和成天下®”</w:t>
      </w:r>
      <w:r>
        <w:rPr>
          <w:rFonts w:hint="eastAsia" w:ascii="仿宋_GB2312" w:hAnsi="仿宋_GB2312" w:eastAsia="仿宋_GB2312" w:cs="仿宋_GB2312"/>
          <w:spacing w:val="0"/>
          <w:sz w:val="32"/>
          <w:szCs w:val="32"/>
          <w:lang w:eastAsia="zh-CN"/>
        </w:rPr>
        <w:t>槟榔</w:t>
      </w:r>
      <w:r>
        <w:rPr>
          <w:rFonts w:hint="eastAsia" w:ascii="仿宋_GB2312" w:hAnsi="仿宋_GB2312" w:eastAsia="仿宋_GB2312" w:cs="仿宋_GB2312"/>
          <w:b w:val="0"/>
          <w:bCs w:val="0"/>
          <w:color w:val="auto"/>
          <w:spacing w:val="6"/>
          <w:kern w:val="1"/>
          <w:sz w:val="32"/>
          <w:szCs w:val="32"/>
          <w:u w:val="none"/>
          <w:lang w:val="en-US" w:eastAsia="zh-CN"/>
        </w:rPr>
        <w:t>的事实</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pacing w:val="0"/>
          <w:sz w:val="32"/>
          <w:szCs w:val="32"/>
        </w:rPr>
        <w:t>询问笔录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w:t>
      </w:r>
      <w:r>
        <w:rPr>
          <w:rFonts w:hint="eastAsia" w:ascii="仿宋_GB2312" w:hAnsi="仿宋_GB2312" w:eastAsia="仿宋_GB2312" w:cs="仿宋_GB2312"/>
          <w:spacing w:val="0"/>
          <w:sz w:val="32"/>
          <w:szCs w:val="32"/>
          <w:lang w:eastAsia="zh-CN"/>
        </w:rPr>
        <w:t>证明当事人购进销售</w:t>
      </w:r>
      <w:r>
        <w:rPr>
          <w:rFonts w:hint="eastAsia" w:ascii="仿宋_GB2312" w:hAnsi="仿宋_GB2312" w:eastAsia="仿宋_GB2312" w:cs="仿宋_GB2312"/>
          <w:b w:val="0"/>
          <w:bCs w:val="0"/>
          <w:color w:val="auto"/>
          <w:spacing w:val="0"/>
          <w:kern w:val="1"/>
          <w:sz w:val="32"/>
          <w:szCs w:val="32"/>
          <w:u w:val="none"/>
          <w:lang w:val="en-US" w:eastAsia="zh-CN"/>
        </w:rPr>
        <w:t>侵犯</w:t>
      </w:r>
      <w:r>
        <w:rPr>
          <w:rFonts w:hint="eastAsia" w:ascii="仿宋_GB2312" w:hAnsi="仿宋_GB2312" w:eastAsia="仿宋_GB2312" w:cs="仿宋_GB2312"/>
          <w:spacing w:val="0"/>
          <w:sz w:val="32"/>
          <w:szCs w:val="32"/>
          <w:lang w:eastAsia="zh-CN"/>
        </w:rPr>
        <w:t>海南和成天下科技发展有限公司</w:t>
      </w:r>
      <w:r>
        <w:rPr>
          <w:rFonts w:hint="eastAsia" w:ascii="仿宋_GB2312" w:hAnsi="仿宋_GB2312" w:eastAsia="仿宋_GB2312" w:cs="仿宋_GB2312"/>
          <w:b w:val="0"/>
          <w:bCs w:val="0"/>
          <w:color w:val="auto"/>
          <w:spacing w:val="0"/>
          <w:kern w:val="1"/>
          <w:sz w:val="32"/>
          <w:szCs w:val="32"/>
          <w:u w:val="none"/>
          <w:lang w:val="en-US" w:eastAsia="zh-CN"/>
        </w:rPr>
        <w:t>商标专用权</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b w:val="0"/>
          <w:bCs w:val="0"/>
          <w:color w:val="auto"/>
          <w:spacing w:val="0"/>
          <w:kern w:val="1"/>
          <w:sz w:val="32"/>
          <w:szCs w:val="32"/>
          <w:u w:val="none"/>
          <w:lang w:val="en-US" w:eastAsia="zh-CN"/>
        </w:rPr>
        <w:t>和成天下®”</w:t>
      </w:r>
      <w:r>
        <w:rPr>
          <w:rFonts w:hint="eastAsia" w:ascii="仿宋_GB2312" w:hAnsi="仿宋_GB2312" w:eastAsia="仿宋_GB2312" w:cs="仿宋_GB2312"/>
          <w:spacing w:val="0"/>
          <w:sz w:val="32"/>
          <w:szCs w:val="32"/>
          <w:lang w:eastAsia="zh-CN"/>
        </w:rPr>
        <w:t>槟榔</w:t>
      </w:r>
      <w:r>
        <w:rPr>
          <w:rFonts w:hint="eastAsia" w:ascii="仿宋_GB2312" w:hAnsi="仿宋_GB2312" w:eastAsia="仿宋_GB2312" w:cs="仿宋_GB2312"/>
          <w:spacing w:val="0"/>
          <w:sz w:val="32"/>
          <w:szCs w:val="32"/>
          <w:lang w:val="en-US" w:eastAsia="zh-CN"/>
        </w:rPr>
        <w:t>的违法事实、经过和所购进、销售</w:t>
      </w:r>
      <w:r>
        <w:rPr>
          <w:rFonts w:hint="eastAsia" w:ascii="仿宋_GB2312" w:hAnsi="仿宋_GB2312" w:eastAsia="仿宋_GB2312" w:cs="仿宋_GB2312"/>
          <w:b w:val="0"/>
          <w:bCs w:val="0"/>
          <w:color w:val="auto"/>
          <w:spacing w:val="0"/>
          <w:kern w:val="1"/>
          <w:sz w:val="32"/>
          <w:szCs w:val="32"/>
          <w:u w:val="none"/>
          <w:lang w:val="en-US" w:eastAsia="zh-CN"/>
        </w:rPr>
        <w:t>侵犯</w:t>
      </w:r>
      <w:r>
        <w:rPr>
          <w:rFonts w:hint="eastAsia" w:ascii="仿宋_GB2312" w:hAnsi="仿宋_GB2312" w:eastAsia="仿宋_GB2312" w:cs="仿宋_GB2312"/>
          <w:spacing w:val="0"/>
          <w:sz w:val="32"/>
          <w:szCs w:val="32"/>
          <w:lang w:eastAsia="zh-CN"/>
        </w:rPr>
        <w:t>海南和成天下科技发展有限公司</w:t>
      </w:r>
      <w:r>
        <w:rPr>
          <w:rFonts w:hint="eastAsia" w:ascii="仿宋_GB2312" w:hAnsi="仿宋_GB2312" w:eastAsia="仿宋_GB2312" w:cs="仿宋_GB2312"/>
          <w:b w:val="0"/>
          <w:bCs w:val="0"/>
          <w:color w:val="auto"/>
          <w:spacing w:val="0"/>
          <w:kern w:val="1"/>
          <w:sz w:val="32"/>
          <w:szCs w:val="32"/>
          <w:u w:val="none"/>
          <w:lang w:val="en-US" w:eastAsia="zh-CN"/>
        </w:rPr>
        <w:t>商标专用权</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b w:val="0"/>
          <w:bCs w:val="0"/>
          <w:color w:val="auto"/>
          <w:spacing w:val="0"/>
          <w:kern w:val="1"/>
          <w:sz w:val="32"/>
          <w:szCs w:val="32"/>
          <w:u w:val="none"/>
          <w:lang w:val="en-US" w:eastAsia="zh-CN"/>
        </w:rPr>
        <w:t>和成天下®”</w:t>
      </w:r>
      <w:r>
        <w:rPr>
          <w:rFonts w:hint="eastAsia" w:ascii="仿宋_GB2312" w:hAnsi="仿宋_GB2312" w:eastAsia="仿宋_GB2312" w:cs="仿宋_GB2312"/>
          <w:spacing w:val="0"/>
          <w:sz w:val="32"/>
          <w:szCs w:val="32"/>
          <w:lang w:eastAsia="zh-CN"/>
        </w:rPr>
        <w:t>槟榔</w:t>
      </w:r>
      <w:r>
        <w:rPr>
          <w:rFonts w:hint="eastAsia" w:ascii="仿宋_GB2312" w:hAnsi="仿宋_GB2312" w:eastAsia="仿宋_GB2312" w:cs="仿宋_GB2312"/>
          <w:spacing w:val="0"/>
          <w:sz w:val="32"/>
          <w:szCs w:val="32"/>
          <w:lang w:val="en-US" w:eastAsia="zh-CN"/>
        </w:rPr>
        <w:t>的数量、价格情况</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pacing w:val="0"/>
          <w:sz w:val="32"/>
          <w:szCs w:val="32"/>
          <w:lang w:val="en-US" w:eastAsia="zh-CN"/>
        </w:rPr>
        <w:t>辨认报告1份，证明我局委托海南和成天下科技发展有限公司对当事人销售的海南和成天下科技发展有限公司</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b w:val="0"/>
          <w:bCs w:val="0"/>
          <w:color w:val="auto"/>
          <w:spacing w:val="0"/>
          <w:kern w:val="1"/>
          <w:sz w:val="32"/>
          <w:szCs w:val="32"/>
          <w:u w:val="none"/>
          <w:lang w:val="en-US" w:eastAsia="zh-CN"/>
        </w:rPr>
        <w:t>和成天下®”</w:t>
      </w:r>
      <w:r>
        <w:rPr>
          <w:rFonts w:hint="eastAsia" w:ascii="仿宋_GB2312" w:hAnsi="仿宋_GB2312" w:eastAsia="仿宋_GB2312" w:cs="仿宋_GB2312"/>
          <w:spacing w:val="0"/>
          <w:sz w:val="32"/>
          <w:szCs w:val="32"/>
          <w:lang w:eastAsia="zh-CN"/>
        </w:rPr>
        <w:t>槟榔</w:t>
      </w:r>
      <w:r>
        <w:rPr>
          <w:rFonts w:hint="eastAsia" w:ascii="仿宋_GB2312" w:hAnsi="仿宋_GB2312" w:eastAsia="仿宋_GB2312" w:cs="仿宋_GB2312"/>
          <w:spacing w:val="0"/>
          <w:sz w:val="32"/>
          <w:szCs w:val="32"/>
          <w:lang w:val="en-US" w:eastAsia="zh-CN"/>
        </w:rPr>
        <w:t>进行鉴定的事实；</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right="0" w:firstLine="596" w:firstLineChars="200"/>
        <w:jc w:val="both"/>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6.</w:t>
      </w:r>
      <w:r>
        <w:rPr>
          <w:rFonts w:hint="eastAsia" w:ascii="仿宋_GB2312" w:hAnsi="仿宋_GB2312" w:eastAsia="仿宋_GB2312" w:cs="仿宋_GB2312"/>
          <w:spacing w:val="0"/>
          <w:sz w:val="32"/>
          <w:szCs w:val="32"/>
          <w:lang w:val="en-US" w:eastAsia="zh-CN"/>
        </w:rPr>
        <w:t>海南和成天下科技发展有限公司出具的营业执照复印件1份、法定代表人身份证复印件1份、商标注册证（第15300921号）三份、授权委托书1份，证明海南和成天下科技发展有限公司持有“和成天下®”</w:t>
      </w:r>
      <w:r>
        <w:rPr>
          <w:rFonts w:hint="eastAsia" w:ascii="仿宋_GB2312" w:hAnsi="仿宋_GB2312" w:eastAsia="仿宋_GB2312" w:cs="仿宋_GB2312"/>
          <w:b w:val="0"/>
          <w:bCs w:val="0"/>
          <w:color w:val="auto"/>
          <w:spacing w:val="0"/>
          <w:kern w:val="1"/>
          <w:sz w:val="32"/>
          <w:szCs w:val="32"/>
          <w:u w:val="none"/>
          <w:lang w:val="en-US" w:eastAsia="zh-CN"/>
        </w:rPr>
        <w:t>注册商标专用权</w:t>
      </w:r>
      <w:r>
        <w:rPr>
          <w:rFonts w:hint="eastAsia" w:ascii="仿宋_GB2312" w:hAnsi="仿宋_GB2312" w:eastAsia="仿宋_GB2312" w:cs="仿宋_GB2312"/>
          <w:spacing w:val="0"/>
          <w:sz w:val="32"/>
          <w:szCs w:val="32"/>
          <w:lang w:val="en-US" w:eastAsia="zh-CN"/>
        </w:rPr>
        <w:t>的事实；</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kern w:val="1"/>
          <w:sz w:val="32"/>
          <w:szCs w:val="32"/>
          <w:lang w:val="en-US" w:eastAsia="zh-CN" w:bidi="ar-SA"/>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7.进货票据复印件1张由当事人提供，证明当事人购进侵害海南</w:t>
      </w:r>
      <w:r>
        <w:rPr>
          <w:rFonts w:hint="eastAsia" w:ascii="仿宋_GB2312" w:hAnsi="仿宋_GB2312" w:eastAsia="仿宋_GB2312" w:cs="仿宋_GB2312"/>
          <w:spacing w:val="0"/>
          <w:sz w:val="32"/>
          <w:szCs w:val="32"/>
          <w:lang w:eastAsia="zh-CN"/>
        </w:rPr>
        <w:t>和成天下科技发展有限公司</w:t>
      </w:r>
      <w:r>
        <w:rPr>
          <w:rFonts w:hint="eastAsia" w:ascii="仿宋_GB2312" w:hAnsi="仿宋_GB2312" w:eastAsia="仿宋_GB2312" w:cs="仿宋_GB2312"/>
          <w:b w:val="0"/>
          <w:bCs w:val="0"/>
          <w:color w:val="auto"/>
          <w:spacing w:val="0"/>
          <w:kern w:val="1"/>
          <w:sz w:val="32"/>
          <w:szCs w:val="32"/>
          <w:u w:val="none"/>
          <w:lang w:val="en-US" w:eastAsia="zh-CN"/>
        </w:rPr>
        <w:t>商标专用权</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b w:val="0"/>
          <w:bCs w:val="0"/>
          <w:color w:val="auto"/>
          <w:spacing w:val="0"/>
          <w:kern w:val="1"/>
          <w:sz w:val="32"/>
          <w:szCs w:val="32"/>
          <w:u w:val="none"/>
          <w:lang w:val="en-US" w:eastAsia="zh-CN"/>
        </w:rPr>
        <w:t>和成天下®”</w:t>
      </w:r>
      <w:r>
        <w:rPr>
          <w:rFonts w:hint="eastAsia" w:ascii="仿宋_GB2312" w:hAnsi="仿宋_GB2312" w:eastAsia="仿宋_GB2312" w:cs="仿宋_GB2312"/>
          <w:spacing w:val="0"/>
          <w:sz w:val="32"/>
          <w:szCs w:val="32"/>
          <w:lang w:eastAsia="zh-CN"/>
        </w:rPr>
        <w:t>槟榔</w:t>
      </w:r>
      <w:r>
        <w:rPr>
          <w:rFonts w:hint="eastAsia" w:ascii="仿宋_GB2312" w:hAnsi="仿宋_GB2312" w:eastAsia="仿宋_GB2312" w:cs="仿宋_GB2312"/>
          <w:b w:val="0"/>
          <w:bCs w:val="0"/>
          <w:color w:val="auto"/>
          <w:spacing w:val="6"/>
          <w:kern w:val="1"/>
          <w:sz w:val="32"/>
          <w:szCs w:val="32"/>
          <w:u w:val="none"/>
          <w:lang w:val="en-US" w:eastAsia="zh-CN"/>
        </w:rPr>
        <w:t>的进货数量</w:t>
      </w:r>
      <w:r>
        <w:rPr>
          <w:rFonts w:hint="eastAsia" w:ascii="仿宋_GB2312" w:hAnsi="仿宋_GB2312" w:eastAsia="仿宋_GB2312" w:cs="仿宋_GB2312"/>
          <w:kern w:val="1"/>
          <w:sz w:val="32"/>
          <w:szCs w:val="32"/>
          <w:lang w:val="en-US" w:eastAsia="zh-CN" w:bidi="ar-SA"/>
        </w:rPr>
        <w:t>。</w:t>
      </w:r>
    </w:p>
    <w:p>
      <w:pPr>
        <w:pStyle w:val="2"/>
        <w:keepNext w:val="0"/>
        <w:keepLines w:val="0"/>
        <w:pageBreakBefore w:val="0"/>
        <w:tabs>
          <w:tab w:val="left" w:pos="8285"/>
        </w:tabs>
        <w:kinsoku/>
        <w:wordWrap/>
        <w:overflowPunct/>
        <w:topLinePunct w:val="0"/>
        <w:bidi w:val="0"/>
        <w:spacing w:line="560" w:lineRule="exact"/>
        <w:ind w:left="0" w:right="0" w:firstLine="640" w:firstLineChars="200"/>
        <w:jc w:val="both"/>
        <w:textAlignment w:val="auto"/>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val="en-US" w:eastAsia="zh-CN" w:bidi="ar-SA"/>
        </w:rPr>
        <w:t>我局</w:t>
      </w:r>
      <w:r>
        <w:rPr>
          <w:rFonts w:hint="eastAsia" w:ascii="仿宋_GB2312" w:hAnsi="仿宋_GB2312" w:eastAsia="仿宋_GB2312" w:cs="仿宋_GB2312"/>
          <w:color w:val="auto"/>
          <w:kern w:val="1"/>
          <w:sz w:val="32"/>
          <w:szCs w:val="32"/>
          <w:lang w:val="en-US" w:eastAsia="zh-CN" w:bidi="ar-SA"/>
        </w:rPr>
        <w:t>于2025年8月6日依</w:t>
      </w:r>
      <w:r>
        <w:rPr>
          <w:rFonts w:hint="eastAsia" w:ascii="仿宋_GB2312" w:hAnsi="仿宋_GB2312" w:eastAsia="仿宋_GB2312" w:cs="仿宋_GB2312"/>
          <w:kern w:val="1"/>
          <w:sz w:val="32"/>
          <w:szCs w:val="32"/>
          <w:lang w:val="en-US" w:eastAsia="zh-CN" w:bidi="ar-SA"/>
        </w:rPr>
        <w:t>法向当事人送达了《行政处罚告知书》（塔乌市监罚告〔2025〕184号），告知了当事人依法享有陈述、申辩的权利，当事人在法定期限内未提出陈述、申辩，视为放弃此权利。</w:t>
      </w:r>
    </w:p>
    <w:p>
      <w:pPr>
        <w:pStyle w:val="2"/>
        <w:keepNext w:val="0"/>
        <w:keepLines w:val="0"/>
        <w:pageBreakBefore w:val="0"/>
        <w:tabs>
          <w:tab w:val="left" w:pos="9060"/>
        </w:tabs>
        <w:kinsoku/>
        <w:wordWrap/>
        <w:overflowPunct/>
        <w:topLinePunct w:val="0"/>
        <w:bidi w:val="0"/>
        <w:spacing w:line="560" w:lineRule="exact"/>
        <w:ind w:left="0" w:right="0" w:firstLine="640" w:firstLineChars="200"/>
        <w:jc w:val="both"/>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kern w:val="1"/>
          <w:sz w:val="32"/>
          <w:szCs w:val="32"/>
        </w:rPr>
        <w:t>本局认为，</w:t>
      </w:r>
      <w:r>
        <w:rPr>
          <w:rFonts w:hint="eastAsia" w:ascii="仿宋_GB2312" w:hAnsi="仿宋_GB2312" w:eastAsia="仿宋_GB2312" w:cs="仿宋_GB2312"/>
          <w:sz w:val="32"/>
          <w:szCs w:val="32"/>
          <w:lang w:val="en-US" w:eastAsia="zh-CN"/>
        </w:rPr>
        <w:t>当事人</w:t>
      </w:r>
      <w:bookmarkStart w:id="3" w:name="OLE_LINK1"/>
      <w:r>
        <w:rPr>
          <w:rFonts w:hint="eastAsia" w:ascii="仿宋_GB2312" w:hAnsi="仿宋_GB2312" w:eastAsia="仿宋_GB2312" w:cs="仿宋_GB2312"/>
          <w:b w:val="0"/>
          <w:bCs w:val="0"/>
          <w:color w:val="auto"/>
          <w:spacing w:val="0"/>
          <w:kern w:val="1"/>
          <w:sz w:val="32"/>
          <w:szCs w:val="32"/>
          <w:u w:val="none"/>
          <w:lang w:val="en-US" w:eastAsia="zh-CN"/>
        </w:rPr>
        <w:t>销售侵犯注册商标专用权</w:t>
      </w:r>
      <w:r>
        <w:rPr>
          <w:rFonts w:hint="eastAsia" w:ascii="仿宋_GB2312" w:hAnsi="仿宋_GB2312" w:eastAsia="仿宋_GB2312" w:cs="仿宋_GB2312"/>
          <w:color w:val="000000" w:themeColor="text1"/>
          <w:spacing w:val="0"/>
          <w:sz w:val="32"/>
          <w:szCs w:val="32"/>
          <w:u w:val="none"/>
          <w:lang w:val="en-US" w:eastAsia="zh-CN"/>
          <w14:textFill>
            <w14:solidFill>
              <w14:schemeClr w14:val="tx1"/>
            </w14:solidFill>
          </w14:textFill>
        </w:rPr>
        <w:t>“和成天下®”槟榔</w:t>
      </w:r>
      <w:bookmarkEnd w:id="3"/>
      <w:r>
        <w:rPr>
          <w:rFonts w:hint="eastAsia" w:ascii="仿宋_GB2312" w:hAnsi="仿宋_GB2312" w:eastAsia="仿宋_GB2312" w:cs="仿宋_GB2312"/>
          <w:color w:val="000000" w:themeColor="text1"/>
          <w:spacing w:val="0"/>
          <w:sz w:val="32"/>
          <w:szCs w:val="32"/>
          <w:u w:val="none"/>
          <w:lang w:val="en-US" w:eastAsia="zh-CN"/>
          <w14:textFill>
            <w14:solidFill>
              <w14:schemeClr w14:val="tx1"/>
            </w14:solidFill>
          </w14:textFill>
        </w:rPr>
        <w:t>的行为</w:t>
      </w:r>
      <w:r>
        <w:rPr>
          <w:rFonts w:hint="eastAsia" w:ascii="仿宋_GB2312" w:hAnsi="仿宋_GB2312" w:eastAsia="仿宋_GB2312" w:cs="仿宋_GB2312"/>
          <w:b w:val="0"/>
          <w:bCs w:val="0"/>
          <w:color w:val="auto"/>
          <w:spacing w:val="6"/>
          <w:kern w:val="1"/>
          <w:sz w:val="32"/>
          <w:szCs w:val="32"/>
          <w:u w:val="none"/>
          <w:lang w:val="en-US" w:eastAsia="zh-CN"/>
        </w:rPr>
        <w:t>，违反了《中华人民共和国商标法》第五十七条第三项：“有下列行为之一的，均属侵犯注册商标专用权：（三）销售侵犯注册商标专用权商品的；”规定，属违法行为</w:t>
      </w:r>
      <w:r>
        <w:rPr>
          <w:rFonts w:hint="eastAsia" w:ascii="仿宋_GB2312" w:hAnsi="仿宋_GB2312" w:eastAsia="仿宋_GB2312" w:cs="仿宋_GB2312"/>
          <w:bCs/>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64" w:firstLineChars="200"/>
        <w:jc w:val="both"/>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b w:val="0"/>
          <w:bCs w:val="0"/>
          <w:color w:val="auto"/>
          <w:spacing w:val="6"/>
          <w:kern w:val="1"/>
          <w:sz w:val="32"/>
          <w:szCs w:val="32"/>
          <w:u w:val="none"/>
          <w:lang w:val="en-US" w:eastAsia="zh-CN"/>
        </w:rPr>
        <w:t>鉴于当事人在本案办理过程中态度端正，能够积极配合办案人员调查，如实陈述违法事实，其销售的</w:t>
      </w:r>
      <w:r>
        <w:rPr>
          <w:rFonts w:hint="eastAsia" w:ascii="仿宋_GB2312" w:hAnsi="仿宋_GB2312" w:eastAsia="仿宋_GB2312" w:cs="仿宋_GB2312"/>
          <w:b w:val="0"/>
          <w:bCs w:val="0"/>
          <w:color w:val="auto"/>
          <w:spacing w:val="0"/>
          <w:kern w:val="1"/>
          <w:sz w:val="32"/>
          <w:szCs w:val="32"/>
          <w:u w:val="none"/>
          <w:lang w:val="en-US" w:eastAsia="zh-CN"/>
        </w:rPr>
        <w:t>侵犯注册商标专用权</w:t>
      </w:r>
      <w:r>
        <w:rPr>
          <w:rFonts w:hint="eastAsia" w:ascii="仿宋_GB2312" w:hAnsi="仿宋_GB2312" w:eastAsia="仿宋_GB2312" w:cs="仿宋_GB2312"/>
          <w:color w:val="000000" w:themeColor="text1"/>
          <w:spacing w:val="0"/>
          <w:sz w:val="32"/>
          <w:szCs w:val="32"/>
          <w:u w:val="none"/>
          <w:lang w:val="en-US" w:eastAsia="zh-CN"/>
          <w14:textFill>
            <w14:solidFill>
              <w14:schemeClr w14:val="tx1"/>
            </w14:solidFill>
          </w14:textFill>
        </w:rPr>
        <w:t>“和成天下®”槟榔的行为</w:t>
      </w:r>
      <w:r>
        <w:rPr>
          <w:rFonts w:hint="eastAsia" w:ascii="仿宋_GB2312" w:hAnsi="仿宋_GB2312" w:eastAsia="仿宋_GB2312" w:cs="仿宋_GB2312"/>
          <w:b w:val="0"/>
          <w:bCs w:val="0"/>
          <w:color w:val="auto"/>
          <w:spacing w:val="6"/>
          <w:kern w:val="1"/>
          <w:sz w:val="32"/>
          <w:szCs w:val="32"/>
          <w:u w:val="none"/>
          <w:lang w:val="en-US" w:eastAsia="zh-CN"/>
        </w:rPr>
        <w:t xml:space="preserve">数量较少。当事人的上述情况符合《新疆维吾尔自治区新疆生产建设兵团市场监督管理行政处罚裁量权使用规定》第十七条“有下列情形之一的，可以依法从轻或减轻行政处罚：（二）积极配合市场监督管理部门调查并主动提供证据材料的；”所规定的情形，参照《新疆维吾尔自治区新疆生产建设兵团市场监督管理行政处罚基准（2024年）》第十四章 知识产权管理，第二节《中华人民共和国商标法》“序号4，违法行为：（3）销售侵犯注册商标专用权的商品的行为；违法情节：没有违法经营额或者违法经营额不足五万元的，同时具有下列情形的；（1）危害后果轻微或者有其他从轻情形的；裁量基准：（1）责令立即停止侵权行为；（2）没收、销毁侵权商品和主要用于制造侵权商品、伪造注册商标标识的工具；（3）可以处7.5万元以下的罚款”的规定，综合考虑个案情况、当事人主客观情况等相关因素，决定对当事人销售侵犯注册商标专用权“和成天下®”槟榔的行为给予从轻行政处罚。 </w:t>
      </w:r>
      <w:r>
        <w:rPr>
          <w:rFonts w:hint="eastAsia" w:ascii="仿宋_GB2312" w:hAnsi="仿宋_GB2312" w:eastAsia="仿宋_GB2312" w:cs="仿宋_GB2312"/>
          <w:kern w:val="1"/>
          <w:sz w:val="32"/>
          <w:szCs w:val="32"/>
          <w:u w:val="non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64" w:firstLineChars="200"/>
        <w:jc w:val="both"/>
        <w:textAlignment w:val="auto"/>
        <w:rPr>
          <w:rFonts w:hint="eastAsia" w:ascii="仿宋_GB2312" w:hAnsi="仿宋_GB2312" w:eastAsia="仿宋_GB2312" w:cs="仿宋_GB2312"/>
          <w:b w:val="0"/>
          <w:bCs w:val="0"/>
          <w:color w:val="auto"/>
          <w:spacing w:val="6"/>
          <w:kern w:val="1"/>
          <w:sz w:val="32"/>
          <w:szCs w:val="32"/>
          <w:u w:val="none"/>
          <w:lang w:val="en-US" w:eastAsia="zh-CN"/>
        </w:rPr>
      </w:pPr>
      <w:r>
        <w:rPr>
          <w:rFonts w:hint="eastAsia" w:ascii="仿宋_GB2312" w:hAnsi="仿宋_GB2312" w:eastAsia="仿宋_GB2312" w:cs="仿宋_GB2312"/>
          <w:b w:val="0"/>
          <w:bCs w:val="0"/>
          <w:color w:val="auto"/>
          <w:spacing w:val="6"/>
          <w:kern w:val="1"/>
          <w:sz w:val="32"/>
          <w:szCs w:val="32"/>
          <w:u w:val="none"/>
          <w:lang w:val="en-US" w:eastAsia="zh-CN"/>
        </w:rPr>
        <w:t>依据《中华人民共和国商标法》第六十条第二款“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其他严重情节的，应当从重处罚。销售不知道是侵犯注册商标专用权的商品，能证明该商品是自己合法取得并说明提供者的，由工商行政管理部门责令停止销售。”的规定，决定对当事人从轻行政处罚如下：</w:t>
      </w:r>
    </w:p>
    <w:p>
      <w:pPr>
        <w:keepNext w:val="0"/>
        <w:keepLines w:val="0"/>
        <w:pageBreakBefore w:val="0"/>
        <w:widowControl w:val="0"/>
        <w:numPr>
          <w:ilvl w:val="0"/>
          <w:numId w:val="0"/>
        </w:numPr>
        <w:kinsoku/>
        <w:wordWrap/>
        <w:overflowPunct/>
        <w:topLinePunct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1.责令停止侵权行为；</w:t>
      </w:r>
    </w:p>
    <w:p>
      <w:pPr>
        <w:keepNext w:val="0"/>
        <w:keepLines w:val="0"/>
        <w:pageBreakBefore w:val="0"/>
        <w:widowControl w:val="0"/>
        <w:numPr>
          <w:ilvl w:val="0"/>
          <w:numId w:val="0"/>
        </w:numPr>
        <w:kinsoku/>
        <w:wordWrap/>
        <w:overflowPunct/>
        <w:topLinePunct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2.没收侵权槟榔干和成天下（金石之交）4袋；</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sz w:val="32"/>
          <w:szCs w:val="32"/>
          <w:lang w:val="en-US" w:eastAsia="zh-CN"/>
        </w:rPr>
        <w:t>3.处1000元罚款</w:t>
      </w:r>
      <w:r>
        <w:rPr>
          <w:rFonts w:hint="eastAsia" w:ascii="仿宋_GB2312" w:hAnsi="仿宋_GB2312" w:eastAsia="仿宋_GB2312" w:cs="仿宋_GB2312"/>
          <w:bCs/>
          <w:sz w:val="32"/>
          <w:szCs w:val="32"/>
          <w:u w:val="none"/>
          <w:lang w:val="en-US" w:eastAsia="zh-CN"/>
        </w:rPr>
        <w:t>。</w:t>
      </w:r>
    </w:p>
    <w:p>
      <w:pPr>
        <w:keepNext w:val="0"/>
        <w:keepLines w:val="0"/>
        <w:pageBreakBefore w:val="0"/>
        <w:kinsoku/>
        <w:wordWrap/>
        <w:overflowPunct/>
        <w:topLinePunct w:val="0"/>
        <w:autoSpaceDE/>
        <w:autoSpaceDN/>
        <w:bidi w:val="0"/>
        <w:adjustRightInd/>
        <w:spacing w:line="56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1"/>
          <w:sz w:val="32"/>
          <w:szCs w:val="32"/>
        </w:rPr>
        <w:t>当事人自收到本处罚决定书之日起</w:t>
      </w:r>
      <w:bookmarkStart w:id="4" w:name="jnfkqx"/>
      <w:r>
        <w:rPr>
          <w:rFonts w:hint="eastAsia" w:ascii="仿宋_GB2312" w:hAnsi="仿宋_GB2312" w:eastAsia="仿宋_GB2312" w:cs="仿宋_GB2312"/>
          <w:kern w:val="1"/>
          <w:sz w:val="32"/>
          <w:szCs w:val="32"/>
          <w:lang w:eastAsia="zh-CN"/>
        </w:rPr>
        <w:t>十五</w:t>
      </w:r>
      <w:r>
        <w:rPr>
          <w:rFonts w:hint="eastAsia" w:ascii="仿宋_GB2312" w:hAnsi="仿宋_GB2312" w:eastAsia="仿宋_GB2312" w:cs="仿宋_GB2312"/>
          <w:kern w:val="1"/>
          <w:sz w:val="32"/>
          <w:szCs w:val="32"/>
        </w:rPr>
        <w:t>日</w:t>
      </w:r>
      <w:bookmarkEnd w:id="4"/>
      <w:r>
        <w:rPr>
          <w:rFonts w:hint="eastAsia" w:ascii="仿宋_GB2312" w:hAnsi="仿宋_GB2312" w:eastAsia="仿宋_GB2312" w:cs="仿宋_GB2312"/>
          <w:kern w:val="1"/>
          <w:sz w:val="32"/>
          <w:szCs w:val="32"/>
        </w:rPr>
        <w:t>内，到</w:t>
      </w:r>
      <w:bookmarkStart w:id="5" w:name="yhxx"/>
      <w:r>
        <w:rPr>
          <w:rFonts w:hint="eastAsia" w:ascii="仿宋_GB2312" w:hAnsi="仿宋_GB2312" w:eastAsia="仿宋_GB2312" w:cs="仿宋_GB2312"/>
          <w:kern w:val="1"/>
          <w:sz w:val="32"/>
          <w:szCs w:val="32"/>
        </w:rPr>
        <w:t>中国建设银行塔城地区分行乌苏新区支行（银行地址：乌苏市长江路141号，用户名：乌苏市财政局</w:t>
      </w: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kern w:val="1"/>
          <w:sz w:val="32"/>
          <w:szCs w:val="32"/>
        </w:rPr>
        <w:t>账号：65001642200052500066</w:t>
      </w: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kern w:val="1"/>
          <w:sz w:val="32"/>
          <w:szCs w:val="32"/>
        </w:rPr>
        <w:t xml:space="preserve">              </w:t>
      </w:r>
      <w:bookmarkEnd w:id="5"/>
      <w:r>
        <w:rPr>
          <w:rFonts w:hint="eastAsia" w:ascii="仿宋_GB2312" w:hAnsi="仿宋_GB2312" w:eastAsia="仿宋_GB2312" w:cs="仿宋_GB2312"/>
          <w:kern w:val="1"/>
          <w:sz w:val="32"/>
          <w:szCs w:val="32"/>
          <w:lang w:eastAsia="zh-CN"/>
        </w:rPr>
        <w:t>到期不</w:t>
      </w:r>
      <w:r>
        <w:rPr>
          <w:rFonts w:hint="eastAsia" w:ascii="仿宋_GB2312" w:hAnsi="仿宋_GB2312" w:eastAsia="仿宋_GB2312" w:cs="仿宋_GB2312"/>
          <w:kern w:val="1"/>
          <w:sz w:val="32"/>
          <w:szCs w:val="32"/>
        </w:rPr>
        <w:t>缴纳罚款</w:t>
      </w:r>
      <w:r>
        <w:rPr>
          <w:rFonts w:hint="eastAsia" w:ascii="仿宋_GB2312" w:hAnsi="仿宋_GB2312" w:eastAsia="仿宋_GB2312" w:cs="仿宋_GB2312"/>
          <w:kern w:val="1"/>
          <w:sz w:val="32"/>
          <w:szCs w:val="32"/>
          <w:lang w:eastAsia="zh-CN"/>
        </w:rPr>
        <w:t>的，</w:t>
      </w:r>
      <w:bookmarkStart w:id="6" w:name="yqfkgd"/>
      <w:r>
        <w:rPr>
          <w:rFonts w:hint="eastAsia" w:ascii="仿宋_GB2312" w:hAnsi="仿宋_GB2312" w:eastAsia="仿宋_GB2312" w:cs="仿宋_GB2312"/>
          <w:kern w:val="0"/>
          <w:sz w:val="32"/>
          <w:szCs w:val="32"/>
        </w:rPr>
        <w:t>依据《中华人民共和国行政处罚法》第七十二条的规定，本局将每日按罚款数额的</w:t>
      </w:r>
      <w:r>
        <w:rPr>
          <w:rFonts w:hint="eastAsia" w:ascii="仿宋_GB2312" w:hAnsi="仿宋_GB2312" w:eastAsia="仿宋_GB2312" w:cs="仿宋_GB2312"/>
          <w:kern w:val="0"/>
          <w:sz w:val="32"/>
          <w:szCs w:val="32"/>
          <w:lang w:eastAsia="zh-CN"/>
        </w:rPr>
        <w:t>3%</w:t>
      </w:r>
      <w:r>
        <w:rPr>
          <w:rFonts w:hint="eastAsia" w:ascii="仿宋_GB2312" w:hAnsi="仿宋_GB2312" w:eastAsia="仿宋_GB2312" w:cs="仿宋_GB2312"/>
          <w:kern w:val="0"/>
          <w:sz w:val="32"/>
          <w:szCs w:val="32"/>
        </w:rPr>
        <w:t>加处罚款；</w:t>
      </w:r>
      <w:r>
        <w:rPr>
          <w:rFonts w:hint="eastAsia" w:ascii="仿宋_GB2312" w:hAnsi="仿宋_GB2312" w:eastAsia="仿宋_GB2312" w:cs="仿宋_GB2312"/>
          <w:kern w:val="0"/>
          <w:sz w:val="32"/>
          <w:szCs w:val="32"/>
          <w:lang w:eastAsia="zh-CN"/>
        </w:rPr>
        <w:t>并依法</w:t>
      </w:r>
      <w:r>
        <w:rPr>
          <w:rFonts w:hint="eastAsia" w:ascii="仿宋_GB2312" w:hAnsi="仿宋_GB2312" w:eastAsia="仿宋_GB2312" w:cs="仿宋_GB2312"/>
          <w:kern w:val="0"/>
          <w:sz w:val="32"/>
          <w:szCs w:val="32"/>
        </w:rPr>
        <w:t>申请</w:t>
      </w:r>
      <w:r>
        <w:rPr>
          <w:rFonts w:hint="eastAsia" w:ascii="仿宋_GB2312" w:hAnsi="仿宋_GB2312" w:eastAsia="仿宋_GB2312" w:cs="仿宋_GB2312"/>
          <w:kern w:val="0"/>
          <w:sz w:val="32"/>
          <w:szCs w:val="32"/>
          <w:lang w:val="en-US" w:eastAsia="zh-CN"/>
        </w:rPr>
        <w:t>乌苏市</w:t>
      </w:r>
      <w:r>
        <w:rPr>
          <w:rFonts w:hint="eastAsia" w:ascii="仿宋_GB2312" w:hAnsi="仿宋_GB2312" w:eastAsia="仿宋_GB2312" w:cs="仿宋_GB2312"/>
          <w:kern w:val="0"/>
          <w:sz w:val="32"/>
          <w:szCs w:val="32"/>
        </w:rPr>
        <w:t>人民法院强制执行</w:t>
      </w:r>
      <w:bookmarkEnd w:id="6"/>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bidi w:val="0"/>
        <w:spacing w:line="560" w:lineRule="exact"/>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如不服本处罚决定，可在收到本处罚决定书之日起</w:t>
      </w:r>
      <w:bookmarkStart w:id="7" w:name="fyqx"/>
      <w:r>
        <w:rPr>
          <w:rFonts w:hint="eastAsia" w:ascii="仿宋_GB2312" w:hAnsi="仿宋_GB2312" w:eastAsia="仿宋_GB2312" w:cs="仿宋_GB2312"/>
          <w:kern w:val="0"/>
          <w:sz w:val="32"/>
          <w:szCs w:val="32"/>
        </w:rPr>
        <w:t>六十日</w:t>
      </w:r>
      <w:bookmarkEnd w:id="7"/>
      <w:r>
        <w:rPr>
          <w:rFonts w:hint="eastAsia" w:ascii="仿宋_GB2312" w:hAnsi="仿宋_GB2312" w:eastAsia="仿宋_GB2312" w:cs="仿宋_GB2312"/>
          <w:kern w:val="0"/>
          <w:sz w:val="32"/>
          <w:szCs w:val="32"/>
        </w:rPr>
        <w:t>内向</w:t>
      </w:r>
      <w:bookmarkStart w:id="8" w:name="fydw"/>
      <w:r>
        <w:rPr>
          <w:rFonts w:hint="eastAsia" w:ascii="仿宋_GB2312" w:hAnsi="仿宋_GB2312" w:eastAsia="仿宋_GB2312" w:cs="仿宋_GB2312"/>
          <w:kern w:val="0"/>
          <w:sz w:val="32"/>
          <w:szCs w:val="32"/>
        </w:rPr>
        <w:t>乌苏市人民政府</w:t>
      </w:r>
      <w:bookmarkEnd w:id="8"/>
      <w:r>
        <w:rPr>
          <w:rFonts w:hint="eastAsia" w:ascii="仿宋_GB2312" w:hAnsi="仿宋_GB2312" w:eastAsia="仿宋_GB2312" w:cs="仿宋_GB2312"/>
          <w:kern w:val="0"/>
          <w:sz w:val="32"/>
          <w:szCs w:val="32"/>
        </w:rPr>
        <w:t>（地址：乌苏市新市区</w:t>
      </w:r>
      <w:r>
        <w:rPr>
          <w:rFonts w:hint="eastAsia" w:ascii="仿宋_GB2312" w:hAnsi="仿宋_GB2312" w:eastAsia="仿宋_GB2312" w:cs="仿宋_GB2312"/>
          <w:kern w:val="0"/>
          <w:sz w:val="32"/>
          <w:szCs w:val="32"/>
          <w:lang w:eastAsia="zh-CN"/>
        </w:rPr>
        <w:t>长江路</w:t>
      </w:r>
      <w:r>
        <w:rPr>
          <w:rFonts w:hint="eastAsia" w:ascii="仿宋_GB2312" w:hAnsi="仿宋_GB2312" w:eastAsia="仿宋_GB2312" w:cs="仿宋_GB2312"/>
          <w:kern w:val="0"/>
          <w:sz w:val="32"/>
          <w:szCs w:val="32"/>
          <w:lang w:val="en-US" w:eastAsia="zh-CN"/>
        </w:rPr>
        <w:t>139号财政大楼三楼行政复议办公室</w:t>
      </w:r>
      <w:r>
        <w:rPr>
          <w:rFonts w:hint="eastAsia" w:ascii="仿宋_GB2312" w:hAnsi="仿宋_GB2312" w:eastAsia="仿宋_GB2312" w:cs="仿宋_GB2312"/>
          <w:kern w:val="0"/>
          <w:sz w:val="32"/>
          <w:szCs w:val="32"/>
        </w:rPr>
        <w:t>）申请</w:t>
      </w:r>
      <w:r>
        <w:rPr>
          <w:rFonts w:hint="eastAsia" w:ascii="仿宋_GB2312" w:hAnsi="仿宋_GB2312" w:eastAsia="仿宋_GB2312" w:cs="仿宋_GB2312"/>
          <w:kern w:val="0"/>
          <w:sz w:val="32"/>
          <w:szCs w:val="32"/>
          <w:lang w:eastAsia="zh-CN"/>
        </w:rPr>
        <w:t>行政</w:t>
      </w:r>
      <w:r>
        <w:rPr>
          <w:rFonts w:hint="eastAsia" w:ascii="仿宋_GB2312" w:hAnsi="仿宋_GB2312" w:eastAsia="仿宋_GB2312" w:cs="仿宋_GB2312"/>
          <w:kern w:val="0"/>
          <w:sz w:val="32"/>
          <w:szCs w:val="32"/>
        </w:rPr>
        <w:t>复议；也可以在</w:t>
      </w:r>
      <w:bookmarkStart w:id="9" w:name="ssqx"/>
      <w:r>
        <w:rPr>
          <w:rFonts w:hint="eastAsia" w:ascii="仿宋_GB2312" w:hAnsi="仿宋_GB2312" w:eastAsia="仿宋_GB2312" w:cs="仿宋_GB2312"/>
          <w:kern w:val="0"/>
          <w:sz w:val="32"/>
          <w:szCs w:val="32"/>
        </w:rPr>
        <w:t>六个月</w:t>
      </w:r>
      <w:bookmarkEnd w:id="9"/>
      <w:r>
        <w:rPr>
          <w:rFonts w:hint="eastAsia" w:ascii="仿宋_GB2312" w:hAnsi="仿宋_GB2312" w:eastAsia="仿宋_GB2312" w:cs="仿宋_GB2312"/>
          <w:kern w:val="0"/>
          <w:sz w:val="32"/>
          <w:szCs w:val="32"/>
        </w:rPr>
        <w:t>内直接向</w:t>
      </w:r>
      <w:bookmarkStart w:id="10" w:name="ssdw"/>
      <w:r>
        <w:rPr>
          <w:rFonts w:hint="eastAsia" w:ascii="仿宋_GB2312" w:hAnsi="仿宋_GB2312" w:eastAsia="仿宋_GB2312" w:cs="仿宋_GB2312"/>
          <w:kern w:val="0"/>
          <w:sz w:val="32"/>
          <w:szCs w:val="32"/>
        </w:rPr>
        <w:t>乌苏市人民法院</w:t>
      </w:r>
      <w:bookmarkEnd w:id="10"/>
      <w:r>
        <w:rPr>
          <w:rFonts w:hint="eastAsia" w:ascii="仿宋_GB2312" w:hAnsi="仿宋_GB2312" w:eastAsia="仿宋_GB2312" w:cs="仿宋_GB2312"/>
          <w:kern w:val="0"/>
          <w:sz w:val="32"/>
          <w:szCs w:val="32"/>
        </w:rPr>
        <w:t>（地址：乌苏市新区长江路</w:t>
      </w:r>
      <w:r>
        <w:rPr>
          <w:rFonts w:hint="eastAsia" w:ascii="仿宋_GB2312" w:hAnsi="仿宋_GB2312" w:eastAsia="仿宋_GB2312" w:cs="仿宋_GB2312"/>
          <w:kern w:val="0"/>
          <w:sz w:val="32"/>
          <w:szCs w:val="32"/>
          <w:lang w:val="en-US" w:eastAsia="zh-CN"/>
        </w:rPr>
        <w:t>140号</w:t>
      </w:r>
      <w:r>
        <w:rPr>
          <w:rFonts w:hint="eastAsia" w:ascii="仿宋_GB2312" w:hAnsi="仿宋_GB2312" w:eastAsia="仿宋_GB2312" w:cs="仿宋_GB2312"/>
          <w:kern w:val="0"/>
          <w:sz w:val="32"/>
          <w:szCs w:val="32"/>
        </w:rPr>
        <w:t>）提起行政诉讼。</w:t>
      </w:r>
      <w:r>
        <w:rPr>
          <w:rFonts w:hint="eastAsia" w:ascii="仿宋_GB2312" w:hAnsi="仿宋_GB2312" w:eastAsia="仿宋_GB2312" w:cs="仿宋_GB2312"/>
          <w:kern w:val="0"/>
          <w:sz w:val="32"/>
          <w:szCs w:val="32"/>
          <w:lang w:eastAsia="zh-CN"/>
        </w:rPr>
        <w:t>申请行政复议或者提起行政诉讼期间，行政处罚不停止执行</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bidi w:val="0"/>
        <w:spacing w:line="560" w:lineRule="exact"/>
        <w:ind w:left="0" w:right="0" w:firstLine="0" w:firstLineChars="0"/>
        <w:jc w:val="both"/>
        <w:textAlignment w:val="auto"/>
        <w:rPr>
          <w:rFonts w:hint="eastAsia" w:ascii="仿宋_GB2312" w:hAnsi="仿宋_GB2312" w:eastAsia="仿宋_GB2312" w:cs="仿宋_GB2312"/>
          <w:kern w:val="0"/>
          <w:sz w:val="32"/>
          <w:szCs w:val="32"/>
        </w:rPr>
      </w:pPr>
    </w:p>
    <w:p>
      <w:pPr>
        <w:keepNext w:val="0"/>
        <w:keepLines w:val="0"/>
        <w:pageBreakBefore w:val="0"/>
        <w:kinsoku/>
        <w:wordWrap/>
        <w:overflowPunct/>
        <w:topLinePunct w:val="0"/>
        <w:bidi w:val="0"/>
        <w:spacing w:line="560" w:lineRule="exact"/>
        <w:ind w:left="0" w:right="0" w:firstLine="0" w:firstLineChars="0"/>
        <w:jc w:val="both"/>
        <w:textAlignment w:val="auto"/>
        <w:rPr>
          <w:rFonts w:hint="eastAsia" w:ascii="仿宋_GB2312" w:hAnsi="仿宋_GB2312" w:eastAsia="仿宋_GB2312" w:cs="仿宋_GB2312"/>
          <w:kern w:val="0"/>
          <w:sz w:val="32"/>
          <w:szCs w:val="32"/>
        </w:rPr>
      </w:pPr>
    </w:p>
    <w:p>
      <w:pPr>
        <w:keepNext w:val="0"/>
        <w:keepLines w:val="0"/>
        <w:pageBreakBefore w:val="0"/>
        <w:kinsoku/>
        <w:wordWrap/>
        <w:overflowPunct/>
        <w:topLinePunct w:val="0"/>
        <w:bidi w:val="0"/>
        <w:spacing w:line="560" w:lineRule="exact"/>
        <w:ind w:left="0" w:right="0" w:firstLine="0" w:firstLineChars="0"/>
        <w:jc w:val="both"/>
        <w:textAlignment w:val="auto"/>
        <w:rPr>
          <w:rFonts w:hint="eastAsia" w:ascii="仿宋_GB2312" w:hAnsi="仿宋_GB2312" w:eastAsia="仿宋_GB2312" w:cs="仿宋_GB2312"/>
          <w:kern w:val="0"/>
          <w:sz w:val="32"/>
          <w:szCs w:val="32"/>
        </w:rPr>
      </w:pPr>
    </w:p>
    <w:p>
      <w:pPr>
        <w:keepNext w:val="0"/>
        <w:keepLines w:val="0"/>
        <w:pageBreakBefore w:val="0"/>
        <w:kinsoku/>
        <w:wordWrap/>
        <w:overflowPunct/>
        <w:topLinePunct w:val="0"/>
        <w:bidi w:val="0"/>
        <w:spacing w:line="560" w:lineRule="exact"/>
        <w:ind w:left="0" w:right="0" w:firstLine="0" w:firstLineChars="0"/>
        <w:jc w:val="both"/>
        <w:textAlignment w:val="auto"/>
        <w:rPr>
          <w:rFonts w:hint="eastAsia" w:ascii="仿宋_GB2312" w:hAnsi="仿宋_GB2312" w:eastAsia="仿宋_GB2312" w:cs="仿宋_GB2312"/>
          <w:kern w:val="0"/>
          <w:sz w:val="32"/>
          <w:szCs w:val="32"/>
        </w:rPr>
      </w:pPr>
    </w:p>
    <w:p>
      <w:pPr>
        <w:keepNext w:val="0"/>
        <w:keepLines w:val="0"/>
        <w:pageBreakBefore w:val="0"/>
        <w:kinsoku/>
        <w:wordWrap/>
        <w:overflowPunct/>
        <w:topLinePunct w:val="0"/>
        <w:bidi w:val="0"/>
        <w:spacing w:line="560" w:lineRule="exact"/>
        <w:ind w:left="0" w:right="0" w:rightChars="0" w:firstLine="0" w:firstLineChars="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乌苏市</w:t>
      </w:r>
      <w:r>
        <w:rPr>
          <w:rFonts w:hint="eastAsia" w:ascii="仿宋_GB2312" w:hAnsi="仿宋_GB2312" w:eastAsia="仿宋_GB2312" w:cs="仿宋_GB2312"/>
          <w:color w:val="000000"/>
          <w:sz w:val="32"/>
          <w:szCs w:val="32"/>
        </w:rPr>
        <w:t>市场监督管理局</w:t>
      </w:r>
    </w:p>
    <w:p>
      <w:pPr>
        <w:keepNext w:val="0"/>
        <w:keepLines w:val="0"/>
        <w:pageBreakBefore w:val="0"/>
        <w:kinsoku/>
        <w:wordWrap/>
        <w:overflowPunct/>
        <w:topLinePunct w:val="0"/>
        <w:bidi w:val="0"/>
        <w:spacing w:line="560" w:lineRule="exact"/>
        <w:ind w:left="0" w:right="0" w:firstLine="0" w:firstLineChars="0"/>
        <w:jc w:val="both"/>
        <w:textAlignment w:val="auto"/>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日</w:t>
      </w:r>
    </w:p>
    <w:p>
      <w:pPr>
        <w:keepNext w:val="0"/>
        <w:keepLines w:val="0"/>
        <w:pageBreakBefore w:val="0"/>
        <w:kinsoku/>
        <w:wordWrap/>
        <w:overflowPunct/>
        <w:topLinePunct w:val="0"/>
        <w:bidi w:val="0"/>
        <w:spacing w:line="560" w:lineRule="exact"/>
        <w:ind w:left="0" w:right="0" w:firstLine="0" w:firstLineChars="0"/>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bidi w:val="0"/>
        <w:spacing w:line="560" w:lineRule="exact"/>
        <w:ind w:left="0" w:right="0" w:firstLine="0" w:firstLineChars="0"/>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bidi w:val="0"/>
        <w:spacing w:line="560" w:lineRule="exact"/>
        <w:ind w:left="0" w:right="0" w:firstLine="0" w:firstLineChars="0"/>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bidi w:val="0"/>
        <w:spacing w:line="560" w:lineRule="exact"/>
        <w:ind w:left="0" w:right="0" w:firstLine="0" w:firstLineChars="0"/>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bidi w:val="0"/>
        <w:spacing w:line="560" w:lineRule="exact"/>
        <w:ind w:left="0" w:right="0" w:firstLine="0" w:firstLineChars="0"/>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bidi w:val="0"/>
        <w:spacing w:line="560" w:lineRule="exact"/>
        <w:ind w:left="0" w:right="0" w:firstLine="0" w:firstLineChars="0"/>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231F20"/>
          <w:spacing w:val="-16"/>
          <w:sz w:val="32"/>
          <w:szCs w:val="32"/>
        </w:rPr>
        <w:t>（市场监督管理部门将依法向社会公开行政处罚决定信息）</w:t>
      </w:r>
    </w:p>
    <w:p>
      <w:pPr>
        <w:keepNext w:val="0"/>
        <w:keepLines w:val="0"/>
        <w:pageBreakBefore w:val="0"/>
        <w:kinsoku/>
        <w:wordWrap/>
        <w:overflowPunct/>
        <w:topLinePunct w:val="0"/>
        <w:bidi w:val="0"/>
        <w:spacing w:line="560" w:lineRule="exact"/>
        <w:ind w:left="0" w:right="0" w:firstLine="0" w:firstLineChars="0"/>
        <w:jc w:val="center"/>
        <w:textAlignment w:val="auto"/>
      </w:pP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36195</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5pt;height:0.05pt;width:411.6pt;z-index:251661312;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RvKdIAAAAFAQAADwAAAAAAAAABACAAAAAiAAAAZHJzL2Rvd25yZXYueG1s&#10;UEsBAhQAFAAAAAgAh07iQD6HVvD+AQAA8QMAAA4AAAAAAAAAAQAgAAAAIQEAAGRycy9lMm9Eb2Mu&#10;eG1sUEsFBgAAAAAGAAYAWQEAAJEFAAAAAA==&#10;">
                <v:fill on="f" focussize="0,0"/>
                <v:stroke weight="1.25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一</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0824069"/>
    <w:rsid w:val="04F36B11"/>
    <w:rsid w:val="067A582B"/>
    <w:rsid w:val="072150C4"/>
    <w:rsid w:val="0D69716A"/>
    <w:rsid w:val="1265049F"/>
    <w:rsid w:val="16B10D6C"/>
    <w:rsid w:val="18D241DF"/>
    <w:rsid w:val="197E4CCF"/>
    <w:rsid w:val="19C8581D"/>
    <w:rsid w:val="21224762"/>
    <w:rsid w:val="23A737DF"/>
    <w:rsid w:val="2952759C"/>
    <w:rsid w:val="2FF20BB1"/>
    <w:rsid w:val="3B0C28D2"/>
    <w:rsid w:val="40A02732"/>
    <w:rsid w:val="4269652C"/>
    <w:rsid w:val="51D55B14"/>
    <w:rsid w:val="52482E5D"/>
    <w:rsid w:val="53A17296"/>
    <w:rsid w:val="54624EF6"/>
    <w:rsid w:val="54804234"/>
    <w:rsid w:val="558D052C"/>
    <w:rsid w:val="5A9616B3"/>
    <w:rsid w:val="5EC46E9C"/>
    <w:rsid w:val="62E664C0"/>
    <w:rsid w:val="74BD4884"/>
    <w:rsid w:val="76A37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3381</Words>
  <Characters>3642</Characters>
  <Lines>0</Lines>
  <Paragraphs>0</Paragraphs>
  <TotalTime>3</TotalTime>
  <ScaleCrop>false</ScaleCrop>
  <LinksUpToDate>false</LinksUpToDate>
  <CharactersWithSpaces>3764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2023-10-18T02:51:00Z</cp:lastPrinted>
  <dcterms:modified xsi:type="dcterms:W3CDTF">2025-08-26T04:44:08Z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