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ind w:left="0" w:leftChars="0" w:right="0"/>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40" w:lineRule="exact"/>
        <w:ind w:left="0" w:leftChars="0" w:right="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40" w:lineRule="exact"/>
        <w:ind w:left="0" w:leftChars="0" w:right="0"/>
        <w:jc w:val="center"/>
        <w:outlineLvl w:val="1"/>
        <w:rPr>
          <w:rFonts w:hint="eastAsia" w:ascii="仿宋" w:hAnsi="仿宋" w:eastAsia="仿宋" w:cs="仿宋"/>
          <w:b w:val="0"/>
          <w:bCs/>
          <w:color w:val="000000"/>
          <w:sz w:val="32"/>
          <w:szCs w:val="32"/>
          <w:u w:val="none" w:color="auto"/>
          <w:lang w:val="en-US" w:eastAsia="zh-CN"/>
        </w:rPr>
      </w:pPr>
      <w:r>
        <w:rPr>
          <w:rFonts w:hint="eastAsia" w:ascii="仿宋" w:hAnsi="仿宋" w:eastAsia="仿宋" w:cs="仿宋"/>
          <w:b w:val="0"/>
          <w:bCs/>
          <w:color w:val="000000"/>
          <w:sz w:val="32"/>
          <w:szCs w:val="32"/>
          <w:u w:val="none" w:color="auto"/>
          <w:lang w:val="en-US" w:eastAsia="zh-CN"/>
        </w:rPr>
        <w:t>塔乌市监处罚〔2025〕155号</w:t>
      </w:r>
    </w:p>
    <w:p>
      <w:pPr>
        <w:keepNext w:val="0"/>
        <w:keepLines w:val="0"/>
        <w:pageBreakBefore w:val="0"/>
        <w:numPr>
          <w:ilvl w:val="0"/>
          <w:numId w:val="0"/>
        </w:numPr>
        <w:kinsoku/>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p>
    <w:p>
      <w:pPr>
        <w:keepNext w:val="0"/>
        <w:keepLines w:val="0"/>
        <w:pageBreakBefore w:val="0"/>
        <w:numPr>
          <w:ilvl w:val="0"/>
          <w:numId w:val="0"/>
        </w:numPr>
        <w:kinsoku/>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仿宋_GB2312" w:hAnsi="仿宋_GB2312" w:eastAsia="仿宋_GB2312" w:cs="仿宋_GB2312"/>
          <w:kern w:val="1"/>
          <w:sz w:val="32"/>
          <w:szCs w:val="32"/>
          <w:u w:val="none" w:color="auto"/>
          <w:lang w:val="en-US" w:eastAsia="zh-CN"/>
        </w:rPr>
        <w:t>当事人：</w:t>
      </w:r>
      <w:r>
        <w:rPr>
          <w:rFonts w:hint="eastAsia" w:ascii="仿宋_GB2312" w:hAnsi="仿宋_GB2312" w:eastAsia="仿宋_GB2312" w:cs="仿宋_GB2312"/>
          <w:bCs/>
          <w:sz w:val="32"/>
          <w:szCs w:val="32"/>
          <w:lang w:val="en-US" w:eastAsia="zh-CN"/>
        </w:rPr>
        <w:t>乌苏市好耐奇电动车行</w:t>
      </w:r>
      <w:r>
        <w:rPr>
          <w:rFonts w:hint="eastAsia" w:ascii="仿宋_GB2312" w:hAnsi="仿宋_GB2312" w:eastAsia="仿宋_GB2312" w:cs="仿宋_GB2312"/>
          <w:kern w:val="0"/>
          <w:sz w:val="32"/>
          <w:szCs w:val="32"/>
          <w:lang w:val="en-US" w:eastAsia="zh-CN" w:bidi="ar-SA"/>
        </w:rPr>
        <w:t xml:space="preserve"> </w:t>
      </w:r>
      <w:r>
        <w:rPr>
          <w:rFonts w:hint="eastAsia" w:ascii="仿宋_GB2312" w:hAnsi="仿宋_GB2312" w:eastAsia="仿宋_GB2312" w:cs="仿宋_GB2312"/>
          <w:kern w:val="1"/>
          <w:sz w:val="32"/>
          <w:szCs w:val="32"/>
          <w:u w:val="none" w:color="auto"/>
          <w:lang w:val="en-US" w:eastAsia="zh-CN"/>
        </w:rPr>
        <w:t>　</w:t>
      </w:r>
    </w:p>
    <w:p>
      <w:pPr>
        <w:keepNext w:val="0"/>
        <w:keepLines w:val="0"/>
        <w:pageBreakBefore w:val="0"/>
        <w:numPr>
          <w:ilvl w:val="0"/>
          <w:numId w:val="0"/>
        </w:numPr>
        <w:kinsoku/>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主体资格证照名称：《营业执照》 </w:t>
      </w:r>
    </w:p>
    <w:p>
      <w:pPr>
        <w:keepNext w:val="0"/>
        <w:keepLines w:val="0"/>
        <w:pageBreakBefore w:val="0"/>
        <w:numPr>
          <w:ilvl w:val="0"/>
          <w:numId w:val="0"/>
        </w:numPr>
        <w:kinsoku/>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统一社会信用代码：</w:t>
      </w:r>
      <w:r>
        <w:rPr>
          <w:rFonts w:hint="eastAsia" w:ascii="仿宋_GB2312" w:hAnsi="仿宋_GB2312" w:eastAsia="仿宋_GB2312" w:cs="仿宋_GB2312"/>
          <w:bCs/>
          <w:sz w:val="32"/>
          <w:szCs w:val="32"/>
          <w:lang w:val="en-US" w:eastAsia="zh-CN"/>
        </w:rPr>
        <w:t>92654202MA77XMQNXP</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numPr>
          <w:ilvl w:val="0"/>
          <w:numId w:val="0"/>
        </w:numPr>
        <w:kinsoku/>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1"/>
          <w:sz w:val="32"/>
          <w:szCs w:val="32"/>
          <w:u w:val="none" w:color="auto"/>
          <w:lang w:val="en-US" w:eastAsia="zh-CN"/>
        </w:rPr>
        <w:t>住址：</w:t>
      </w:r>
      <w:r>
        <w:rPr>
          <w:rFonts w:hint="eastAsia" w:ascii="仿宋_GB2312" w:hAnsi="仿宋_GB2312" w:eastAsia="仿宋_GB2312" w:cs="仿宋_GB2312"/>
          <w:bCs/>
          <w:sz w:val="32"/>
          <w:szCs w:val="32"/>
          <w:lang w:val="en-US" w:eastAsia="zh-CN"/>
        </w:rPr>
        <w:t>新疆塔城地区乌苏市塔里木河西路明珠小区2号楼62号</w:t>
      </w:r>
    </w:p>
    <w:p>
      <w:pPr>
        <w:keepNext w:val="0"/>
        <w:keepLines w:val="0"/>
        <w:pageBreakBefore w:val="0"/>
        <w:numPr>
          <w:ilvl w:val="0"/>
          <w:numId w:val="0"/>
        </w:numPr>
        <w:kinsoku/>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1"/>
          <w:sz w:val="32"/>
          <w:szCs w:val="32"/>
          <w:u w:val="none" w:color="auto"/>
          <w:lang w:val="en-US" w:eastAsia="zh-CN"/>
        </w:rPr>
        <w:t>经营者：</w:t>
      </w:r>
      <w:r>
        <w:rPr>
          <w:rFonts w:hint="eastAsia" w:ascii="仿宋_GB2312" w:hAnsi="仿宋_GB2312" w:eastAsia="仿宋_GB2312" w:cs="仿宋_GB2312"/>
          <w:bCs/>
          <w:sz w:val="32"/>
          <w:szCs w:val="32"/>
          <w:lang w:val="en-US" w:eastAsia="zh-CN"/>
        </w:rPr>
        <w:t>马*</w:t>
      </w:r>
      <w:r>
        <w:rPr>
          <w:rFonts w:hint="eastAsia" w:ascii="仿宋_GB2312" w:hAnsi="仿宋_GB2312" w:eastAsia="仿宋_GB2312" w:cs="仿宋_GB2312"/>
          <w:kern w:val="0"/>
          <w:sz w:val="32"/>
          <w:szCs w:val="32"/>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right="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sz w:val="32"/>
          <w:szCs w:val="32"/>
          <w:lang w:val="en-US" w:eastAsia="zh-CN"/>
        </w:rPr>
        <w:t>2025年6月23日，我局执法人员黄艳梅、别尔克·</w:t>
      </w:r>
      <w:bookmarkStart w:id="3" w:name="_GoBack"/>
      <w:r>
        <w:rPr>
          <w:rFonts w:hint="eastAsia" w:ascii="仿宋_GB2312" w:hAnsi="仿宋_GB2312" w:eastAsia="仿宋_GB2312" w:cs="仿宋_GB2312"/>
          <w:bCs/>
          <w:sz w:val="32"/>
          <w:szCs w:val="32"/>
          <w:highlight w:val="none"/>
          <w:lang w:val="en-US" w:eastAsia="zh-CN"/>
        </w:rPr>
        <w:t>革命江</w:t>
      </w:r>
      <w:bookmarkEnd w:id="3"/>
      <w:r>
        <w:rPr>
          <w:rFonts w:hint="eastAsia" w:ascii="仿宋_GB2312" w:hAnsi="仿宋_GB2312" w:eastAsia="仿宋_GB2312" w:cs="仿宋_GB2312"/>
          <w:bCs/>
          <w:sz w:val="32"/>
          <w:szCs w:val="32"/>
          <w:lang w:val="en-US" w:eastAsia="zh-CN"/>
        </w:rPr>
        <w:t>来到新疆塔城地区乌苏市塔里木河西路明珠小区2号楼62号的乌苏市好耐奇电动车行开展日常监督检查</w:t>
      </w:r>
      <w:r>
        <w:rPr>
          <w:rFonts w:hint="eastAsia" w:hAnsi="仿宋_GB2312" w:cs="仿宋_GB2312"/>
          <w:bCs/>
          <w:sz w:val="32"/>
          <w:szCs w:val="32"/>
          <w:lang w:val="en-US" w:eastAsia="zh-CN"/>
        </w:rPr>
        <w:t>时</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kern w:val="2"/>
          <w:sz w:val="32"/>
          <w:szCs w:val="32"/>
          <w:lang w:val="en-US" w:eastAsia="zh-CN" w:bidi="ar-SA"/>
        </w:rPr>
        <w:t>该车行正常营业，</w:t>
      </w:r>
      <w:r>
        <w:rPr>
          <w:rFonts w:hint="eastAsia" w:ascii="仿宋_GB2312" w:hAnsi="仿宋_GB2312" w:eastAsia="仿宋_GB2312" w:cs="仿宋_GB2312"/>
          <w:bCs/>
          <w:sz w:val="32"/>
          <w:szCs w:val="32"/>
          <w:lang w:val="en-US" w:eastAsia="zh-CN"/>
        </w:rPr>
        <w:t>执法人员向经营者</w:t>
      </w:r>
      <w:r>
        <w:rPr>
          <w:rFonts w:hint="eastAsia" w:hAnsi="仿宋_GB2312" w:cs="仿宋_GB2312"/>
          <w:bCs/>
          <w:sz w:val="32"/>
          <w:szCs w:val="32"/>
          <w:lang w:val="en-US" w:eastAsia="zh-CN"/>
        </w:rPr>
        <w:t>马*</w:t>
      </w:r>
      <w:r>
        <w:rPr>
          <w:rFonts w:hint="eastAsia" w:ascii="仿宋_GB2312" w:hAnsi="仿宋_GB2312" w:eastAsia="仿宋_GB2312" w:cs="仿宋_GB2312"/>
          <w:bCs/>
          <w:sz w:val="32"/>
          <w:szCs w:val="32"/>
          <w:lang w:val="en-US" w:eastAsia="zh-CN"/>
        </w:rPr>
        <w:t>出示执法证件并说明来意，</w:t>
      </w:r>
      <w:r>
        <w:rPr>
          <w:rFonts w:hint="eastAsia" w:ascii="仿宋_GB2312" w:hAnsi="仿宋_GB2312" w:eastAsia="仿宋_GB2312" w:cs="仿宋_GB2312"/>
          <w:bCs/>
          <w:kern w:val="2"/>
          <w:sz w:val="32"/>
          <w:szCs w:val="32"/>
          <w:lang w:val="en-US" w:eastAsia="zh-CN" w:bidi="ar-SA"/>
        </w:rPr>
        <w:t>经营者</w:t>
      </w:r>
      <w:r>
        <w:rPr>
          <w:rFonts w:hint="eastAsia" w:hAnsi="仿宋_GB2312" w:cs="仿宋_GB2312"/>
          <w:bCs/>
          <w:sz w:val="32"/>
          <w:szCs w:val="32"/>
          <w:lang w:val="en-US" w:eastAsia="zh-CN"/>
        </w:rPr>
        <w:t>马*</w:t>
      </w:r>
      <w:r>
        <w:rPr>
          <w:rFonts w:hint="eastAsia" w:ascii="仿宋_GB2312" w:hAnsi="仿宋_GB2312" w:eastAsia="仿宋_GB2312" w:cs="仿宋_GB2312"/>
          <w:bCs/>
          <w:kern w:val="2"/>
          <w:sz w:val="32"/>
          <w:szCs w:val="32"/>
          <w:lang w:val="en-US" w:eastAsia="zh-CN" w:bidi="ar-SA"/>
        </w:rPr>
        <w:t>在现场</w:t>
      </w:r>
      <w:r>
        <w:rPr>
          <w:rFonts w:hint="eastAsia" w:hAnsi="仿宋_GB2312" w:cs="仿宋_GB2312"/>
          <w:bCs/>
          <w:kern w:val="2"/>
          <w:sz w:val="32"/>
          <w:szCs w:val="32"/>
          <w:lang w:val="en-US" w:eastAsia="zh-CN" w:bidi="ar-SA"/>
        </w:rPr>
        <w:t>全程配合检查</w:t>
      </w:r>
      <w:r>
        <w:rPr>
          <w:rFonts w:hint="eastAsia" w:ascii="仿宋_GB2312" w:hAnsi="仿宋_GB2312" w:eastAsia="仿宋_GB2312" w:cs="仿宋_GB2312"/>
          <w:bCs/>
          <w:kern w:val="2"/>
          <w:sz w:val="32"/>
          <w:szCs w:val="32"/>
          <w:lang w:val="en-US" w:eastAsia="zh-CN" w:bidi="ar-SA"/>
        </w:rPr>
        <w:t>。执法人员检查发现该车行未按要求落实进货查验、索证索票、销售记录，未严格落实“日管控、周排查、月调度”工作制度，执法人员当场对该车行未按要求落实进货查验、索证索票、销售记录，未严格落实“日管控、周排查、月调度”工作制度的行为下发了</w:t>
      </w:r>
      <w:r>
        <w:rPr>
          <w:rFonts w:hint="eastAsia" w:hAnsi="仿宋_GB2312" w:cs="仿宋_GB2312"/>
          <w:bCs/>
          <w:kern w:val="2"/>
          <w:sz w:val="32"/>
          <w:szCs w:val="32"/>
          <w:lang w:val="en-US" w:eastAsia="zh-CN" w:bidi="ar-SA"/>
        </w:rPr>
        <w:t>《</w:t>
      </w:r>
      <w:r>
        <w:rPr>
          <w:rFonts w:hint="eastAsia" w:ascii="仿宋_GB2312" w:hAnsi="仿宋_GB2312" w:eastAsia="仿宋_GB2312" w:cs="仿宋_GB2312"/>
          <w:bCs/>
          <w:kern w:val="2"/>
          <w:sz w:val="32"/>
          <w:szCs w:val="32"/>
          <w:lang w:val="en-US" w:eastAsia="zh-CN" w:bidi="ar-SA"/>
        </w:rPr>
        <w:t>责令改正通知书</w:t>
      </w:r>
      <w:r>
        <w:rPr>
          <w:rFonts w:hint="eastAsia" w:hAnsi="仿宋_GB2312" w:cs="仿宋_GB2312"/>
          <w:bCs/>
          <w:kern w:val="2"/>
          <w:sz w:val="32"/>
          <w:szCs w:val="32"/>
          <w:lang w:val="en-US" w:eastAsia="zh-CN" w:bidi="ar-SA"/>
        </w:rPr>
        <w:t>》</w:t>
      </w:r>
      <w:r>
        <w:rPr>
          <w:rFonts w:hint="eastAsia" w:ascii="仿宋_GB2312" w:hAnsi="仿宋_GB2312" w:eastAsia="仿宋_GB2312" w:cs="仿宋_GB2312"/>
          <w:bCs/>
          <w:kern w:val="2"/>
          <w:sz w:val="32"/>
          <w:szCs w:val="32"/>
          <w:lang w:val="en-US" w:eastAsia="zh-CN" w:bidi="ar-SA"/>
        </w:rPr>
        <w:t>（乌市监责改〔2025〕22</w:t>
      </w:r>
      <w:r>
        <w:rPr>
          <w:rFonts w:hint="eastAsia" w:hAnsi="仿宋_GB2312" w:cs="仿宋_GB2312"/>
          <w:bCs/>
          <w:kern w:val="2"/>
          <w:sz w:val="32"/>
          <w:szCs w:val="32"/>
          <w:lang w:val="en-US" w:eastAsia="zh-CN" w:bidi="ar-SA"/>
        </w:rPr>
        <w:t>4</w:t>
      </w:r>
      <w:r>
        <w:rPr>
          <w:rFonts w:hint="eastAsia" w:ascii="仿宋_GB2312" w:hAnsi="仿宋_GB2312" w:eastAsia="仿宋_GB2312" w:cs="仿宋_GB2312"/>
          <w:bCs/>
          <w:kern w:val="2"/>
          <w:sz w:val="32"/>
          <w:szCs w:val="32"/>
          <w:lang w:val="en-US" w:eastAsia="zh-CN" w:bidi="ar-SA"/>
        </w:rPr>
        <w:t>号），责令当事人限期改正违法行为，当事人无异议现场予以签收。</w:t>
      </w:r>
    </w:p>
    <w:p>
      <w:pPr>
        <w:keepNext w:val="0"/>
        <w:keepLines w:val="0"/>
        <w:pageBreakBefore w:val="0"/>
        <w:widowControl w:val="0"/>
        <w:kinsoku/>
        <w:wordWrap w:val="0"/>
        <w:overflowPunct/>
        <w:topLinePunct/>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lang w:val="en-US" w:eastAsia="zh-CN"/>
        </w:rPr>
        <w:t>2025年7月2日，我局执法人员王燕、别尔克·革命江再次来到乌苏市好耐奇电动车行进行检查，对2025年6月23日下发的责令改正通知书（乌市监责改</w:t>
      </w:r>
      <w:r>
        <w:rPr>
          <w:rFonts w:hint="eastAsia" w:ascii="微软雅黑" w:hAnsi="微软雅黑" w:eastAsia="微软雅黑" w:cs="微软雅黑"/>
          <w:bCs/>
          <w:sz w:val="32"/>
          <w:szCs w:val="32"/>
          <w:lang w:val="en-US" w:eastAsia="zh-CN"/>
        </w:rPr>
        <w:t>〔</w:t>
      </w:r>
      <w:r>
        <w:rPr>
          <w:rFonts w:hint="eastAsia" w:ascii="仿宋_GB2312" w:hAnsi="仿宋_GB2312" w:eastAsia="仿宋_GB2312" w:cs="仿宋_GB2312"/>
          <w:bCs/>
          <w:sz w:val="32"/>
          <w:szCs w:val="32"/>
          <w:lang w:val="en-US" w:eastAsia="zh-CN"/>
        </w:rPr>
        <w:t>2025</w:t>
      </w:r>
      <w:r>
        <w:rPr>
          <w:rFonts w:hint="eastAsia" w:ascii="微软雅黑" w:hAnsi="微软雅黑" w:eastAsia="微软雅黑" w:cs="微软雅黑"/>
          <w:bCs/>
          <w:sz w:val="32"/>
          <w:szCs w:val="32"/>
          <w:lang w:val="en-US" w:eastAsia="zh-CN"/>
        </w:rPr>
        <w:t>〕</w:t>
      </w:r>
      <w:r>
        <w:rPr>
          <w:rFonts w:hint="eastAsia" w:ascii="仿宋_GB2312" w:hAnsi="仿宋_GB2312" w:eastAsia="仿宋_GB2312" w:cs="仿宋_GB2312"/>
          <w:bCs/>
          <w:sz w:val="32"/>
          <w:szCs w:val="32"/>
          <w:lang w:val="en-US" w:eastAsia="zh-CN"/>
        </w:rPr>
        <w:t>224号）进行回头看时，该车行正常经营，经营者马*在现场</w:t>
      </w:r>
      <w:r>
        <w:rPr>
          <w:rFonts w:hint="eastAsia" w:ascii="仿宋_GB2312" w:hAnsi="仿宋_GB2312" w:eastAsia="仿宋_GB2312" w:cs="仿宋_GB2312"/>
          <w:bCs/>
          <w:spacing w:val="0"/>
          <w:sz w:val="32"/>
          <w:szCs w:val="32"/>
          <w:lang w:val="en-US" w:eastAsia="zh-CN"/>
        </w:rPr>
        <w:t>全程配合检查</w:t>
      </w:r>
      <w:r>
        <w:rPr>
          <w:rFonts w:hint="eastAsia" w:ascii="仿宋_GB2312" w:hAnsi="仿宋_GB2312" w:eastAsia="仿宋_GB2312" w:cs="仿宋_GB2312"/>
          <w:bCs/>
          <w:sz w:val="32"/>
          <w:szCs w:val="32"/>
          <w:lang w:val="en-US" w:eastAsia="zh-CN"/>
        </w:rPr>
        <w:t>。执法人员现场查看该车行所销售电动自行车的工业产品质量管理日管控、周排查、月调度记录，发现该车</w:t>
      </w:r>
      <w:r>
        <w:rPr>
          <w:rFonts w:hint="eastAsia" w:ascii="仿宋_GB2312" w:hAnsi="仿宋_GB2312" w:eastAsia="仿宋_GB2312" w:cs="仿宋_GB2312"/>
          <w:bCs/>
          <w:sz w:val="32"/>
          <w:szCs w:val="32"/>
          <w:highlight w:val="none"/>
          <w:lang w:val="en-US" w:eastAsia="zh-CN"/>
        </w:rPr>
        <w:t>行按要求</w:t>
      </w:r>
      <w:r>
        <w:rPr>
          <w:rFonts w:hint="eastAsia" w:ascii="仿宋_GB2312" w:hAnsi="仿宋_GB2312" w:eastAsia="仿宋_GB2312" w:cs="仿宋_GB2312"/>
          <w:bCs/>
          <w:sz w:val="32"/>
          <w:szCs w:val="32"/>
          <w:lang w:val="en-US" w:eastAsia="zh-CN"/>
        </w:rPr>
        <w:t>整改落实进货查验、索证索票、销售记录，但2025年4月8日至2025年7月2日的《每日工业产品质量安全检查记录》《</w:t>
      </w:r>
      <w:r>
        <w:rPr>
          <w:rFonts w:hint="eastAsia" w:ascii="仿宋_GB2312" w:hAnsi="仿宋_GB2312" w:eastAsia="仿宋_GB2312" w:cs="仿宋_GB2312"/>
          <w:sz w:val="32"/>
          <w:szCs w:val="32"/>
          <w:lang w:val="en-US" w:eastAsia="zh-CN"/>
        </w:rPr>
        <w:t>每周工业产品质量安全排查治理报告</w:t>
      </w:r>
      <w:r>
        <w:rPr>
          <w:rFonts w:hint="eastAsia" w:ascii="仿宋_GB2312" w:hAnsi="仿宋_GB2312" w:eastAsia="仿宋_GB2312" w:cs="仿宋_GB2312"/>
          <w:bCs/>
          <w:sz w:val="32"/>
          <w:szCs w:val="32"/>
          <w:lang w:val="en-US" w:eastAsia="zh-CN"/>
        </w:rPr>
        <w:t>》《每月</w:t>
      </w:r>
      <w:r>
        <w:rPr>
          <w:rFonts w:hint="eastAsia" w:ascii="仿宋_GB2312" w:hAnsi="仿宋_GB2312" w:eastAsia="仿宋_GB2312" w:cs="仿宋_GB2312"/>
          <w:sz w:val="32"/>
          <w:szCs w:val="32"/>
          <w:lang w:val="en-US" w:eastAsia="zh-CN"/>
        </w:rPr>
        <w:t>工业产品质量安全调度会议纪要</w:t>
      </w:r>
      <w:r>
        <w:rPr>
          <w:rFonts w:hint="eastAsia" w:ascii="仿宋_GB2312" w:hAnsi="仿宋_GB2312" w:eastAsia="仿宋_GB2312" w:cs="仿宋_GB2312"/>
          <w:bCs/>
          <w:sz w:val="32"/>
          <w:szCs w:val="32"/>
          <w:lang w:val="en-US" w:eastAsia="zh-CN"/>
        </w:rPr>
        <w:t>》未记录，其中，《每日工业产品质量安全检查记录》记录到2025年4月7日，《</w:t>
      </w:r>
      <w:r>
        <w:rPr>
          <w:rFonts w:hint="eastAsia" w:ascii="仿宋_GB2312" w:hAnsi="仿宋_GB2312" w:eastAsia="仿宋_GB2312" w:cs="仿宋_GB2312"/>
          <w:sz w:val="32"/>
          <w:szCs w:val="32"/>
          <w:lang w:val="en-US" w:eastAsia="zh-CN"/>
        </w:rPr>
        <w:t>每周工业产品质量安全排查治理报告</w:t>
      </w:r>
      <w:r>
        <w:rPr>
          <w:rFonts w:hint="eastAsia" w:ascii="仿宋_GB2312" w:hAnsi="仿宋_GB2312" w:eastAsia="仿宋_GB2312" w:cs="仿宋_GB2312"/>
          <w:bCs/>
          <w:sz w:val="32"/>
          <w:szCs w:val="32"/>
          <w:lang w:val="en-US" w:eastAsia="zh-CN"/>
        </w:rPr>
        <w:t>》记录到2025年4月6日（2025年3月30日至2025年4月6日），《每月</w:t>
      </w:r>
      <w:r>
        <w:rPr>
          <w:rFonts w:hint="eastAsia" w:ascii="仿宋_GB2312" w:hAnsi="仿宋_GB2312" w:eastAsia="仿宋_GB2312" w:cs="仿宋_GB2312"/>
          <w:sz w:val="32"/>
          <w:szCs w:val="32"/>
          <w:lang w:val="en-US" w:eastAsia="zh-CN"/>
        </w:rPr>
        <w:t>工业产品质量安全调度会议纪要</w:t>
      </w:r>
      <w:r>
        <w:rPr>
          <w:rFonts w:hint="eastAsia" w:ascii="仿宋_GB2312" w:hAnsi="仿宋_GB2312" w:eastAsia="仿宋_GB2312" w:cs="仿宋_GB2312"/>
          <w:bCs/>
          <w:sz w:val="32"/>
          <w:szCs w:val="32"/>
          <w:lang w:val="en-US" w:eastAsia="zh-CN"/>
        </w:rPr>
        <w:t>》记录到2025年3月31日（2025年3月1日至3月31日）。当事人未在责令改正期限内改正违法行为。当事人的上述行为</w:t>
      </w:r>
      <w:r>
        <w:rPr>
          <w:rFonts w:hint="eastAsia" w:ascii="仿宋_GB2312" w:hAnsi="仿宋_GB2312" w:eastAsia="仿宋_GB2312" w:cs="仿宋_GB2312"/>
          <w:bCs/>
          <w:kern w:val="2"/>
          <w:sz w:val="32"/>
          <w:szCs w:val="32"/>
          <w:lang w:val="en-US" w:eastAsia="zh-CN" w:bidi="ar-SA"/>
        </w:rPr>
        <w:t>违反了《工业产品销售单位落实质量安全主体责任监督管理规定》第三条第二款、第九条、第十条、第十一条、第十二条的规定，为进一步了解情况，经报局领导批准，于2025年7月16日立案，并指派</w:t>
      </w:r>
      <w:r>
        <w:rPr>
          <w:rFonts w:hint="eastAsia" w:ascii="仿宋_GB2312" w:hAnsi="仿宋_GB2312" w:eastAsia="仿宋_GB2312" w:cs="仿宋_GB2312"/>
          <w:bCs/>
          <w:sz w:val="32"/>
          <w:szCs w:val="32"/>
          <w:lang w:val="en-US" w:eastAsia="zh-CN"/>
        </w:rPr>
        <w:t>王燕、别尔克·</w:t>
      </w:r>
      <w:r>
        <w:rPr>
          <w:rFonts w:hint="eastAsia" w:ascii="仿宋_GB2312" w:hAnsi="仿宋_GB2312" w:eastAsia="仿宋_GB2312" w:cs="仿宋_GB2312"/>
          <w:bCs/>
          <w:sz w:val="32"/>
          <w:szCs w:val="32"/>
          <w:highlight w:val="none"/>
          <w:lang w:val="en-US" w:eastAsia="zh-CN"/>
        </w:rPr>
        <w:t>革命江</w:t>
      </w:r>
      <w:r>
        <w:rPr>
          <w:rFonts w:hint="eastAsia" w:ascii="仿宋_GB2312" w:hAnsi="仿宋_GB2312" w:eastAsia="仿宋_GB2312" w:cs="仿宋_GB2312"/>
          <w:bCs/>
          <w:kern w:val="2"/>
          <w:sz w:val="32"/>
          <w:szCs w:val="32"/>
          <w:highlight w:val="none"/>
          <w:lang w:val="en-US" w:eastAsia="zh-CN" w:bidi="ar-SA"/>
        </w:rPr>
        <w:t>对</w:t>
      </w:r>
      <w:r>
        <w:rPr>
          <w:rFonts w:hint="eastAsia" w:ascii="仿宋_GB2312" w:hAnsi="仿宋_GB2312" w:eastAsia="仿宋_GB2312" w:cs="仿宋_GB2312"/>
          <w:bCs/>
          <w:kern w:val="2"/>
          <w:sz w:val="32"/>
          <w:szCs w:val="32"/>
          <w:lang w:val="en-US" w:eastAsia="zh-CN" w:bidi="ar-SA"/>
        </w:rPr>
        <w:t>此</w:t>
      </w:r>
      <w:r>
        <w:rPr>
          <w:rFonts w:hint="eastAsia" w:ascii="仿宋_GB2312" w:hAnsi="仿宋_GB2312" w:eastAsia="仿宋_GB2312" w:cs="仿宋_GB2312"/>
          <w:bCs/>
          <w:sz w:val="32"/>
          <w:szCs w:val="32"/>
          <w:highlight w:val="none"/>
          <w:lang w:val="en-US" w:eastAsia="zh-CN"/>
        </w:rPr>
        <w:t>案进行调查了解，本案已于2024年8月6日调查终结。</w:t>
      </w:r>
    </w:p>
    <w:p>
      <w:pPr>
        <w:keepNext w:val="0"/>
        <w:keepLines w:val="0"/>
        <w:pageBreakBefore w:val="0"/>
        <w:widowControl w:val="0"/>
        <w:kinsoku/>
        <w:wordWrap w:val="0"/>
        <w:overflowPunct/>
        <w:topLinePunct/>
        <w:autoSpaceDE/>
        <w:autoSpaceDN/>
        <w:bidi w:val="0"/>
        <w:adjustRightInd/>
        <w:snapToGrid/>
        <w:spacing w:line="540" w:lineRule="exact"/>
        <w:ind w:left="0" w:leftChars="0" w:right="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highlight w:val="none"/>
          <w:lang w:val="en-US" w:eastAsia="zh-CN"/>
        </w:rPr>
        <w:t>经查，2025年6月23日我局执法人员对</w:t>
      </w:r>
      <w:r>
        <w:rPr>
          <w:rFonts w:hint="eastAsia" w:ascii="仿宋_GB2312" w:hAnsi="仿宋_GB2312" w:eastAsia="仿宋_GB2312" w:cs="仿宋_GB2312"/>
          <w:bCs/>
          <w:sz w:val="32"/>
          <w:szCs w:val="32"/>
          <w:lang w:val="en-US" w:eastAsia="zh-CN"/>
        </w:rPr>
        <w:t>乌苏市好耐奇电动车进行现场检查时，对当事人未按要求落实进货查验、</w:t>
      </w:r>
      <w:r>
        <w:rPr>
          <w:rFonts w:hint="eastAsia" w:ascii="仿宋_GB2312" w:hAnsi="仿宋_GB2312" w:eastAsia="仿宋_GB2312" w:cs="仿宋_GB2312"/>
          <w:bCs/>
          <w:kern w:val="2"/>
          <w:sz w:val="32"/>
          <w:szCs w:val="32"/>
          <w:lang w:val="en-US" w:eastAsia="zh-CN" w:bidi="ar-SA"/>
        </w:rPr>
        <w:t>索证索票、销售记录未严格落实“日管控、周排查、月调度”工作制度的违法行为，下发了</w:t>
      </w:r>
      <w:r>
        <w:rPr>
          <w:rFonts w:hint="eastAsia" w:hAnsi="仿宋_GB2312" w:cs="仿宋_GB2312"/>
          <w:bCs/>
          <w:kern w:val="2"/>
          <w:sz w:val="32"/>
          <w:szCs w:val="32"/>
          <w:lang w:val="en-US" w:eastAsia="zh-CN" w:bidi="ar-SA"/>
        </w:rPr>
        <w:t>《</w:t>
      </w:r>
      <w:r>
        <w:rPr>
          <w:rFonts w:hint="eastAsia" w:ascii="仿宋_GB2312" w:hAnsi="仿宋_GB2312" w:eastAsia="仿宋_GB2312" w:cs="仿宋_GB2312"/>
          <w:bCs/>
          <w:kern w:val="2"/>
          <w:sz w:val="32"/>
          <w:szCs w:val="32"/>
          <w:lang w:val="en-US" w:eastAsia="zh-CN" w:bidi="ar-SA"/>
        </w:rPr>
        <w:t>责令改正通知书</w:t>
      </w:r>
      <w:r>
        <w:rPr>
          <w:rFonts w:hint="eastAsia" w:hAnsi="仿宋_GB2312" w:cs="仿宋_GB2312"/>
          <w:bCs/>
          <w:kern w:val="2"/>
          <w:sz w:val="32"/>
          <w:szCs w:val="32"/>
          <w:lang w:val="en-US" w:eastAsia="zh-CN" w:bidi="ar-SA"/>
        </w:rPr>
        <w:t>》</w:t>
      </w:r>
      <w:r>
        <w:rPr>
          <w:rFonts w:hint="eastAsia" w:ascii="仿宋_GB2312" w:hAnsi="仿宋_GB2312" w:eastAsia="仿宋_GB2312" w:cs="仿宋_GB2312"/>
          <w:bCs/>
          <w:kern w:val="2"/>
          <w:sz w:val="32"/>
          <w:szCs w:val="32"/>
          <w:lang w:val="en-US" w:eastAsia="zh-CN" w:bidi="ar-SA"/>
        </w:rPr>
        <w:t>（乌市监责改〔2025〕224号），责令当事人限期改正。</w:t>
      </w:r>
      <w:r>
        <w:rPr>
          <w:rFonts w:hint="eastAsia" w:ascii="仿宋_GB2312" w:hAnsi="仿宋_GB2312" w:eastAsia="仿宋_GB2312" w:cs="仿宋_GB2312"/>
          <w:bCs/>
          <w:sz w:val="32"/>
          <w:szCs w:val="32"/>
          <w:lang w:val="en-US" w:eastAsia="zh-CN"/>
        </w:rPr>
        <w:t>截至2025年7月2日执法人员再次检查时，当事人现场无法提供2025年4月8日至2025年7月2日《每日工业产品质量安全检查记录》、2025年4月7日至2025年7月2日《</w:t>
      </w:r>
      <w:r>
        <w:rPr>
          <w:rFonts w:hint="eastAsia" w:ascii="仿宋_GB2312" w:hAnsi="仿宋_GB2312" w:eastAsia="仿宋_GB2312" w:cs="仿宋_GB2312"/>
          <w:sz w:val="32"/>
          <w:szCs w:val="32"/>
          <w:lang w:val="en-US" w:eastAsia="zh-CN"/>
        </w:rPr>
        <w:t>每周工业产品质量安全排查治理报告</w:t>
      </w:r>
      <w:r>
        <w:rPr>
          <w:rFonts w:hint="eastAsia" w:ascii="仿宋_GB2312" w:hAnsi="仿宋_GB2312" w:eastAsia="仿宋_GB2312" w:cs="仿宋_GB2312"/>
          <w:bCs/>
          <w:sz w:val="32"/>
          <w:szCs w:val="32"/>
          <w:lang w:val="en-US" w:eastAsia="zh-CN"/>
        </w:rPr>
        <w:t>》及2025年4月1日至2025年7月2日《每月</w:t>
      </w:r>
      <w:r>
        <w:rPr>
          <w:rFonts w:hint="eastAsia" w:ascii="仿宋_GB2312" w:hAnsi="仿宋_GB2312" w:eastAsia="仿宋_GB2312" w:cs="仿宋_GB2312"/>
          <w:sz w:val="32"/>
          <w:szCs w:val="32"/>
          <w:lang w:val="en-US" w:eastAsia="zh-CN"/>
        </w:rPr>
        <w:t>工业产品质量安全调度会议纪要</w:t>
      </w:r>
      <w:r>
        <w:rPr>
          <w:rFonts w:hint="eastAsia" w:ascii="仿宋_GB2312" w:hAnsi="仿宋_GB2312" w:eastAsia="仿宋_GB2312" w:cs="仿宋_GB2312"/>
          <w:bCs/>
          <w:sz w:val="32"/>
          <w:szCs w:val="32"/>
          <w:lang w:val="en-US" w:eastAsia="zh-CN"/>
        </w:rPr>
        <w:t>》记录，</w:t>
      </w:r>
      <w:r>
        <w:rPr>
          <w:rFonts w:hint="eastAsia" w:ascii="仿宋_GB2312" w:hAnsi="仿宋_GB2312" w:eastAsia="仿宋_GB2312" w:cs="仿宋_GB2312"/>
          <w:bCs/>
          <w:sz w:val="32"/>
          <w:szCs w:val="32"/>
          <w:highlight w:val="none"/>
          <w:lang w:val="en-US" w:eastAsia="zh-CN"/>
        </w:rPr>
        <w:t>经调查确认，当</w:t>
      </w:r>
      <w:r>
        <w:rPr>
          <w:rFonts w:hint="eastAsia" w:ascii="仿宋_GB2312" w:hAnsi="仿宋_GB2312" w:eastAsia="仿宋_GB2312" w:cs="仿宋_GB2312"/>
          <w:bCs/>
          <w:sz w:val="32"/>
          <w:szCs w:val="32"/>
          <w:lang w:val="en-US" w:eastAsia="zh-CN"/>
        </w:rPr>
        <w:t>事人在经营活动中未按照要求落实工业产品质量安全责任制，未严格建立健全日管控、周排查、月调度工作制度。当事人在现场、调查笔录上签字确认，未提出异议。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1.《营业执照》及身份证复印件各1份，由当事人提供，证明当事人和经营者经营主体资格及经营范围；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现场笔录2份，笔录（一）证明2025年6月23日执法人员检查时发现当事人销售电动自行车的事实及未落实工业产品质量安全责任制度的情况；笔录（二）证明2025年7月2日执法人员现场检查发现当事人仍未落实工业产品质量安全责任制度的情况；</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firstLine="640"/>
        <w:jc w:val="both"/>
        <w:textAlignment w:val="baseline"/>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授权委托书1份、</w:t>
      </w:r>
      <w:r>
        <w:rPr>
          <w:rFonts w:hint="eastAsia" w:ascii="仿宋_GB2312" w:hAnsi="仿宋_GB2312" w:eastAsia="仿宋_GB2312" w:cs="仿宋_GB2312"/>
          <w:kern w:val="0"/>
          <w:sz w:val="32"/>
          <w:szCs w:val="32"/>
          <w:lang w:eastAsia="zh-CN"/>
        </w:rPr>
        <w:t>受</w:t>
      </w:r>
      <w:r>
        <w:rPr>
          <w:rFonts w:hint="eastAsia" w:ascii="仿宋_GB2312" w:hAnsi="仿宋_GB2312" w:eastAsia="仿宋_GB2312" w:cs="仿宋_GB2312"/>
          <w:kern w:val="0"/>
          <w:sz w:val="32"/>
          <w:szCs w:val="32"/>
        </w:rPr>
        <w:t>委托人身份证复印件1份，证明受委托人基本情况，以及委托事项、委托权限、委托期限及</w:t>
      </w:r>
      <w:r>
        <w:rPr>
          <w:rFonts w:hint="eastAsia" w:ascii="仿宋_GB2312" w:hAnsi="仿宋_GB2312" w:eastAsia="仿宋_GB2312" w:cs="仿宋_GB2312"/>
          <w:kern w:val="0"/>
          <w:sz w:val="32"/>
          <w:szCs w:val="32"/>
          <w:lang w:eastAsia="zh-CN"/>
        </w:rPr>
        <w:t>受</w:t>
      </w:r>
      <w:r>
        <w:rPr>
          <w:rFonts w:hint="eastAsia" w:ascii="仿宋_GB2312" w:hAnsi="仿宋_GB2312" w:eastAsia="仿宋_GB2312" w:cs="仿宋_GB2312"/>
          <w:kern w:val="0"/>
          <w:sz w:val="32"/>
          <w:szCs w:val="32"/>
        </w:rPr>
        <w:t>委托人身份信息与委托书信息相符；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4.询问笔录1份，证明当事人销售电动自行车未落实工业产品质量安全责任制度的事实；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5.现场拍摄照片</w:t>
      </w: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sz w:val="32"/>
          <w:szCs w:val="32"/>
          <w:lang w:val="en-US" w:eastAsia="zh-CN"/>
        </w:rPr>
        <w:t>张，音像视频资料1份，证明执法人员现场检查及当事人未落实工业产品质量安全责任制度的事实；</w:t>
      </w:r>
    </w:p>
    <w:p>
      <w:pPr>
        <w:pStyle w:val="2"/>
        <w:keepNext w:val="0"/>
        <w:keepLines w:val="0"/>
        <w:pageBreakBefore w:val="0"/>
        <w:kinsoku/>
        <w:overflowPunct/>
        <w:autoSpaceDE/>
        <w:autoSpaceDN/>
        <w:bidi w:val="0"/>
        <w:spacing w:line="540" w:lineRule="exact"/>
        <w:ind w:left="0" w:leftChars="0" w:right="0" w:firstLine="640" w:firstLineChars="200"/>
        <w:jc w:val="both"/>
        <w:rPr>
          <w:rFonts w:hint="eastAsia" w:ascii="仿宋_GB2312" w:hAnsi="仿宋_GB2312" w:eastAsia="仿宋_GB2312" w:cs="仿宋_GB2312"/>
          <w:bCs/>
          <w:sz w:val="32"/>
          <w:szCs w:val="32"/>
          <w:lang w:val="en-US" w:eastAsia="zh-CN"/>
        </w:rPr>
      </w:pPr>
      <w:r>
        <w:rPr>
          <w:rFonts w:hint="eastAsia" w:hAnsi="仿宋_GB2312" w:cs="仿宋_GB2312"/>
          <w:bCs/>
          <w:sz w:val="32"/>
          <w:szCs w:val="32"/>
          <w:lang w:val="en-US" w:eastAsia="zh-CN"/>
        </w:rPr>
        <w:t>6.提取的</w:t>
      </w:r>
      <w:r>
        <w:rPr>
          <w:rFonts w:hint="eastAsia" w:ascii="仿宋_GB2312" w:hAnsi="仿宋_GB2312" w:eastAsia="仿宋_GB2312" w:cs="仿宋_GB2312"/>
          <w:bCs/>
          <w:sz w:val="32"/>
          <w:szCs w:val="32"/>
          <w:lang w:val="en-US" w:eastAsia="zh-CN"/>
        </w:rPr>
        <w:t>“日管控、周排查、月调度”</w:t>
      </w:r>
      <w:r>
        <w:rPr>
          <w:rFonts w:hint="eastAsia" w:hAnsi="仿宋_GB2312" w:cs="仿宋_GB2312"/>
          <w:bCs/>
          <w:sz w:val="32"/>
          <w:szCs w:val="32"/>
          <w:lang w:val="en-US" w:eastAsia="zh-CN"/>
        </w:rPr>
        <w:t>截图复印件5份，由当事人提供，证明</w:t>
      </w:r>
      <w:r>
        <w:rPr>
          <w:rFonts w:hint="eastAsia" w:ascii="仿宋_GB2312" w:hAnsi="仿宋_GB2312" w:eastAsia="仿宋_GB2312" w:cs="仿宋_GB2312"/>
          <w:bCs/>
          <w:sz w:val="32"/>
          <w:szCs w:val="32"/>
          <w:lang w:val="en-US" w:eastAsia="zh-CN"/>
        </w:rPr>
        <w:t>2025年7月2日执法人员现场检查发现当事人未按规定落实产品质量安全责任的事实</w:t>
      </w:r>
      <w:r>
        <w:rPr>
          <w:rFonts w:hint="eastAsia" w:hAnsi="仿宋_GB2312" w:cs="仿宋_GB2312"/>
          <w:bCs/>
          <w:sz w:val="32"/>
          <w:szCs w:val="32"/>
          <w:lang w:val="en-US" w:eastAsia="zh-CN"/>
        </w:rPr>
        <w:t>；</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7.责令改正通知书及送达回证1份，证明2025年6月23日执法人员对当事人销售电动自行车的事实及未落实工业产品质量安全责任制度的行为下发责令改正通知书，责令当事人限期改正的情况；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Cs/>
          <w:sz w:val="32"/>
          <w:szCs w:val="32"/>
          <w:lang w:val="en-US" w:eastAsia="zh-CN"/>
        </w:rPr>
        <w:t xml:space="preserve">8.二级残疾人证复印件1份，由当事人提供，证明当事人有肢体残疾的事实。         </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0"/>
          <w:sz w:val="32"/>
          <w:szCs w:val="32"/>
          <w:lang w:val="en-US" w:eastAsia="zh-CN" w:bidi="ar-SA"/>
        </w:rPr>
        <w:t>我局于2025年8月28日依法向当事人送达了《行政处罚告知书》（塔乌市监罚告〔2025〕217号），告知了当事人依法享有陈述、申辩的权利，当事人在法定期限内未提出陈述、申辩，视为放弃此权利。</w:t>
      </w:r>
      <w:r>
        <w:rPr>
          <w:rFonts w:hint="eastAsia" w:ascii="仿宋_GB2312" w:hAnsi="仿宋_GB2312" w:eastAsia="仿宋_GB2312" w:cs="仿宋_GB2312"/>
          <w:kern w:val="1"/>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当事人的上述行为违反了</w:t>
      </w:r>
      <w:r>
        <w:rPr>
          <w:rFonts w:hint="eastAsia" w:ascii="仿宋_GB2312" w:hAnsi="仿宋_GB2312" w:eastAsia="仿宋_GB2312" w:cs="仿宋_GB2312"/>
          <w:bCs/>
          <w:kern w:val="2"/>
          <w:sz w:val="32"/>
          <w:szCs w:val="32"/>
          <w:lang w:val="en-US" w:eastAsia="zh-CN" w:bidi="ar-SA"/>
        </w:rPr>
        <w:t>《工业产品销售单位落实质量安全主体责任监督管理规定》</w:t>
      </w:r>
      <w:r>
        <w:rPr>
          <w:rFonts w:hint="eastAsia" w:ascii="仿宋_GB2312" w:hAnsi="仿宋_GB2312" w:eastAsia="仿宋_GB2312" w:cs="仿宋_GB2312"/>
          <w:bCs/>
          <w:sz w:val="32"/>
          <w:szCs w:val="32"/>
          <w:lang w:val="en-US" w:eastAsia="zh-CN"/>
        </w:rPr>
        <w:t>第三条第二款：“销售单位主要负责人对本单位的产品质量安全工作全面负责，建立并落实产品质量安全主体责任的长效机制。质量安全总监、质量安全员应当按照岗位职责协助销售单位主要负责人做好产品质量安全管理工作。”、</w:t>
      </w:r>
      <w:r>
        <w:rPr>
          <w:rFonts w:hint="eastAsia" w:ascii="仿宋_GB2312" w:hAnsi="仿宋_GB2312" w:eastAsia="仿宋_GB2312" w:cs="仿宋_GB2312"/>
          <w:sz w:val="32"/>
          <w:szCs w:val="32"/>
          <w:lang w:val="en-US" w:eastAsia="zh-CN"/>
        </w:rPr>
        <w:t>第九条：“销售单位应当建立基于工业产品质量安全风险防控的动态管理机制，结合本单位实际，落实自查要求，制定包括进货查验、索证索票、建立台账、核对产品质量信息等内容的《工业产品质量安全风险管控清单》，建立健全日管控、周排查、月调度工作制度。”、第十条：“销售单位应当建立工业产品质量安全日管控制度。质量安全员每日根据《工业产品质量安全风险管控清单》进行检查，形成《每日工业产品质量安全检查记录》，对发现的质量安全风险隐患，应当立即采取防范措施，及时上报质量安全总监或者销售单位主要负责人。未发现问题的，也应当予以记录，实行零风险报告。”、第十一条：“销售单位应当建立工业产品质量安全周排查制度。质量安全总监每周至少组织一次风险隐患排查，根据日常管控中发现的问题，分析研判产品质量安全状况，形成《每周工业产品质量安全排查治理报告》。”第十二条：“销售单位应当建立工业产品质量安全月调度制度。单位主要负责人每月至少听取一次质量安全总监管理工作情况汇报，对当月销售的工业产品质量安全日常管理、风险隐患排查治理等情况进行总结，对下个月重点工作作出调度安排，形成《每月工业产品质量安全调度会议纪要》。”的规定</w:t>
      </w:r>
      <w:r>
        <w:rPr>
          <w:rFonts w:hint="eastAsia" w:ascii="仿宋_GB2312" w:hAnsi="仿宋_GB2312" w:eastAsia="仿宋_GB2312" w:cs="仿宋_GB2312"/>
          <w:bCs/>
          <w:sz w:val="32"/>
          <w:szCs w:val="32"/>
          <w:lang w:val="en-US" w:eastAsia="zh-CN"/>
        </w:rPr>
        <w:t xml:space="preserve">，属违法经营行为。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鉴于当事人态度端正，积极配合案件调查，如实陈述违法事实并主动提供证据材料，承认在整改过程中未严格落实“日管控、周排查、月调度”制度，承诺今后守法经营积极整改做好相关记录；当事人身患残疾，生活困难。当事人的上述情况符合《新疆维吾尔自治区新疆生产建设兵团市场监督管理行政处罚裁量权适用规定》第十七条第二项、第五项：“有下列情形之一的，可以依法从轻或者减轻行政处罚：（二）积极配合市场监管部门调查并主动提供证据材料的；（五）当事人因残疾或者重大疾病等原因生活确有困难的；”所规定的情形，综合考虑个案情况、当事人主观情况等相关因素，决定给予当事人减轻行政处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highlight w:val="yellow"/>
          <w:lang w:val="en-US" w:eastAsia="zh-CN"/>
        </w:rPr>
      </w:pPr>
      <w:r>
        <w:rPr>
          <w:rFonts w:hint="eastAsia" w:ascii="仿宋_GB2312" w:hAnsi="仿宋_GB2312" w:eastAsia="仿宋_GB2312" w:cs="仿宋_GB2312"/>
          <w:bCs/>
          <w:sz w:val="32"/>
          <w:szCs w:val="32"/>
          <w:lang w:val="en-US" w:eastAsia="zh-CN"/>
        </w:rPr>
        <w:t>依据</w:t>
      </w:r>
      <w:r>
        <w:rPr>
          <w:rFonts w:hint="eastAsia" w:ascii="仿宋_GB2312" w:hAnsi="仿宋_GB2312" w:eastAsia="仿宋_GB2312" w:cs="仿宋_GB2312"/>
          <w:bCs/>
          <w:kern w:val="2"/>
          <w:sz w:val="32"/>
          <w:szCs w:val="32"/>
          <w:lang w:val="en-US" w:eastAsia="zh-CN" w:bidi="ar-SA"/>
        </w:rPr>
        <w:t>《工业产品销售单位落实质量安全主体责任监督管理规定》</w:t>
      </w:r>
      <w:r>
        <w:rPr>
          <w:rFonts w:hint="eastAsia" w:ascii="仿宋_GB2312" w:hAnsi="仿宋_GB2312" w:eastAsia="仿宋_GB2312" w:cs="仿宋_GB2312"/>
          <w:bCs/>
          <w:sz w:val="32"/>
          <w:szCs w:val="32"/>
          <w:lang w:val="en-US" w:eastAsia="zh-CN"/>
        </w:rPr>
        <w:t>第十七条：“ 销售单位未按规定建立质量安全管理制度，或者未按规定配备、培训、考核质量安全总监、质量安全员，或者未按责任制要求落实质量安全责任的，由县级以上地方市场监管部门责令改正，给予警告；拒不改正的，处五千元以上五万元以下罚款。”</w:t>
      </w:r>
      <w:r>
        <w:rPr>
          <w:rFonts w:hint="eastAsia" w:ascii="仿宋_GB2312" w:hAnsi="仿宋_GB2312" w:eastAsia="仿宋_GB2312" w:cs="仿宋_GB2312"/>
          <w:bCs/>
          <w:sz w:val="32"/>
          <w:szCs w:val="32"/>
          <w:highlight w:val="none"/>
          <w:lang w:val="en-US" w:eastAsia="zh-CN"/>
        </w:rPr>
        <w:t>的规定，</w:t>
      </w:r>
      <w:r>
        <w:rPr>
          <w:rFonts w:hint="eastAsia" w:ascii="仿宋_GB2312" w:hAnsi="仿宋_GB2312" w:eastAsia="仿宋_GB2312" w:cs="仿宋_GB2312"/>
          <w:bCs/>
          <w:sz w:val="32"/>
          <w:szCs w:val="32"/>
          <w:lang w:val="en-US" w:eastAsia="zh-CN"/>
        </w:rPr>
        <w:t>责令当事人改正违法经营行为，决定对当事人处罚如下：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处500元罚款。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b w:val="0"/>
          <w:bCs/>
          <w:color w:val="000000"/>
          <w:sz w:val="32"/>
          <w:szCs w:val="32"/>
          <w:u w:val="single" w:color="FFFFFF"/>
          <w:lang w:val="en-US" w:eastAsia="zh-CN"/>
        </w:rPr>
      </w:pPr>
      <w:r>
        <w:rPr>
          <w:rFonts w:hint="eastAsia" w:ascii="仿宋_GB2312" w:hAnsi="仿宋_GB2312" w:eastAsia="仿宋_GB2312" w:cs="仿宋_GB2312"/>
          <w:bCs/>
          <w:sz w:val="32"/>
          <w:szCs w:val="32"/>
          <w:lang w:val="en-US" w:eastAsia="zh-CN"/>
        </w:rPr>
        <w:t xml:space="preserve">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p>
    <w:p>
      <w:pPr>
        <w:pStyle w:val="2"/>
        <w:keepNext w:val="0"/>
        <w:keepLines w:val="0"/>
        <w:pageBreakBefore w:val="0"/>
        <w:kinsoku/>
        <w:overflowPunct/>
        <w:autoSpaceDE/>
        <w:autoSpaceDN/>
        <w:bidi w:val="0"/>
        <w:spacing w:line="540" w:lineRule="exact"/>
        <w:ind w:left="0" w:leftChars="0" w:right="0"/>
        <w:jc w:val="both"/>
        <w:rPr>
          <w:rFonts w:hint="eastAsia" w:ascii="仿宋" w:hAnsi="仿宋" w:eastAsia="仿宋" w:cs="仿宋"/>
          <w:b w:val="0"/>
          <w:bCs/>
          <w:color w:val="000000"/>
          <w:sz w:val="32"/>
          <w:szCs w:val="32"/>
          <w:u w:val="single" w:color="FFFFFF"/>
          <w:lang w:val="en-US" w:eastAsia="zh-CN"/>
        </w:rPr>
      </w:pPr>
    </w:p>
    <w:p>
      <w:pPr>
        <w:pStyle w:val="2"/>
        <w:keepNext w:val="0"/>
        <w:keepLines w:val="0"/>
        <w:pageBreakBefore w:val="0"/>
        <w:kinsoku/>
        <w:overflowPunct/>
        <w:autoSpaceDE/>
        <w:autoSpaceDN/>
        <w:bidi w:val="0"/>
        <w:spacing w:line="540" w:lineRule="exact"/>
        <w:ind w:left="0" w:leftChars="0" w:right="0"/>
        <w:jc w:val="both"/>
        <w:rPr>
          <w:rFonts w:hint="eastAsia" w:ascii="仿宋" w:hAnsi="仿宋" w:eastAsia="仿宋" w:cs="仿宋"/>
          <w:b w:val="0"/>
          <w:bCs/>
          <w:color w:val="000000"/>
          <w:sz w:val="32"/>
          <w:szCs w:val="32"/>
          <w:u w:val="single" w:color="FFFFFF"/>
          <w:lang w:val="en-US" w:eastAsia="zh-CN"/>
        </w:rPr>
      </w:pPr>
    </w:p>
    <w:p>
      <w:pPr>
        <w:pStyle w:val="2"/>
        <w:keepNext w:val="0"/>
        <w:keepLines w:val="0"/>
        <w:pageBreakBefore w:val="0"/>
        <w:kinsoku/>
        <w:overflowPunct/>
        <w:autoSpaceDE/>
        <w:autoSpaceDN/>
        <w:bidi w:val="0"/>
        <w:spacing w:line="540" w:lineRule="exact"/>
        <w:ind w:left="0" w:leftChars="0" w:right="0"/>
        <w:jc w:val="both"/>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800" w:firstLineChars="15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乌苏市市场监督管理局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2025年9月10日</w:t>
      </w:r>
    </w:p>
    <w:p>
      <w:pPr>
        <w:pStyle w:val="2"/>
        <w:rPr>
          <w:rFonts w:hint="eastAsia" w:ascii="仿宋_GB2312" w:hAnsi="仿宋_GB2312" w:eastAsia="仿宋_GB2312" w:cs="仿宋_GB2312"/>
          <w:bCs/>
          <w:sz w:val="32"/>
          <w:szCs w:val="32"/>
          <w:lang w:val="en-US" w:eastAsia="zh-CN"/>
        </w:rPr>
      </w:pPr>
    </w:p>
    <w:p>
      <w:pPr>
        <w:pStyle w:val="2"/>
        <w:rPr>
          <w:rFonts w:hint="eastAsia" w:ascii="仿宋_GB2312" w:hAnsi="仿宋_GB2312" w:eastAsia="仿宋_GB2312" w:cs="仿宋_GB2312"/>
          <w:bCs/>
          <w:sz w:val="32"/>
          <w:szCs w:val="32"/>
          <w:lang w:val="en-US" w:eastAsia="zh-CN"/>
        </w:rPr>
      </w:pPr>
    </w:p>
    <w:p>
      <w:pPr>
        <w:pStyle w:val="2"/>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（市场监督管理部门将依法向社会公开行政处罚决定信息）</w:t>
      </w:r>
      <w:r>
        <w:rPr>
          <w:rFonts w:hint="eastAsia" w:ascii="仿宋_GB2312" w:hAnsi="仿宋_GB2312" w:eastAsia="仿宋_GB2312" w:cs="仿宋_GB2312"/>
          <w:bCs/>
          <w:sz w:val="32"/>
          <w:szCs w:val="32"/>
          <w:lang w:val="en-US" w:eastAsia="zh-CN"/>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bCs/>
          <w:sz w:val="32"/>
          <w:szCs w:val="32"/>
          <w:lang w:val="en-US" w:eastAsia="zh-CN"/>
        </w:rPr>
        <w:t>本文书一式四份，一份送达，三份归档。</w:t>
      </w:r>
      <w:r>
        <w:rPr>
          <w:rFonts w:hint="eastAsia" w:ascii="仿宋_GB2312" w:hAnsi="仿宋_GB2312" w:eastAsia="仿宋_GB2312" w:cs="仿宋_GB2312"/>
          <w:bCs/>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04E4C8E"/>
    <w:rsid w:val="016B626C"/>
    <w:rsid w:val="023006A7"/>
    <w:rsid w:val="02C212B7"/>
    <w:rsid w:val="033037F2"/>
    <w:rsid w:val="034E77FA"/>
    <w:rsid w:val="037A05EF"/>
    <w:rsid w:val="04D63DFE"/>
    <w:rsid w:val="04F930B9"/>
    <w:rsid w:val="05097AD0"/>
    <w:rsid w:val="06A430F4"/>
    <w:rsid w:val="071F2A3E"/>
    <w:rsid w:val="07441979"/>
    <w:rsid w:val="079C0384"/>
    <w:rsid w:val="07B66435"/>
    <w:rsid w:val="095D5E45"/>
    <w:rsid w:val="098C2285"/>
    <w:rsid w:val="09C23012"/>
    <w:rsid w:val="09D71932"/>
    <w:rsid w:val="0A243FB0"/>
    <w:rsid w:val="0B22064F"/>
    <w:rsid w:val="0D3A1A36"/>
    <w:rsid w:val="0E475979"/>
    <w:rsid w:val="0EE63E50"/>
    <w:rsid w:val="0FB129CD"/>
    <w:rsid w:val="100C48AC"/>
    <w:rsid w:val="1047578D"/>
    <w:rsid w:val="105E354F"/>
    <w:rsid w:val="10CF41FE"/>
    <w:rsid w:val="10D75D0B"/>
    <w:rsid w:val="11724BAC"/>
    <w:rsid w:val="11963FA1"/>
    <w:rsid w:val="12C86C39"/>
    <w:rsid w:val="134C1D6F"/>
    <w:rsid w:val="139131C3"/>
    <w:rsid w:val="13C70523"/>
    <w:rsid w:val="14A06D86"/>
    <w:rsid w:val="14C808EB"/>
    <w:rsid w:val="150323A7"/>
    <w:rsid w:val="16421F11"/>
    <w:rsid w:val="16AB3EBF"/>
    <w:rsid w:val="174A2743"/>
    <w:rsid w:val="18833745"/>
    <w:rsid w:val="18E54327"/>
    <w:rsid w:val="19464546"/>
    <w:rsid w:val="194E6691"/>
    <w:rsid w:val="19AD1F2E"/>
    <w:rsid w:val="19C8581D"/>
    <w:rsid w:val="1A826533"/>
    <w:rsid w:val="1AFB5453"/>
    <w:rsid w:val="1B5A719C"/>
    <w:rsid w:val="1BFC7A70"/>
    <w:rsid w:val="1D7A7125"/>
    <w:rsid w:val="1DB06C45"/>
    <w:rsid w:val="1E204135"/>
    <w:rsid w:val="1E981141"/>
    <w:rsid w:val="1EB776E6"/>
    <w:rsid w:val="1ED17950"/>
    <w:rsid w:val="1F9B1C69"/>
    <w:rsid w:val="1FA7488F"/>
    <w:rsid w:val="20582FD2"/>
    <w:rsid w:val="21574527"/>
    <w:rsid w:val="21E409ED"/>
    <w:rsid w:val="221029F2"/>
    <w:rsid w:val="221D1D08"/>
    <w:rsid w:val="227A4620"/>
    <w:rsid w:val="22DB4AB1"/>
    <w:rsid w:val="22E152C9"/>
    <w:rsid w:val="22F9763D"/>
    <w:rsid w:val="233A6C5C"/>
    <w:rsid w:val="23A737DF"/>
    <w:rsid w:val="24693AC6"/>
    <w:rsid w:val="24BB648C"/>
    <w:rsid w:val="24BD5478"/>
    <w:rsid w:val="24FF380F"/>
    <w:rsid w:val="25037E3A"/>
    <w:rsid w:val="25167467"/>
    <w:rsid w:val="26AF3D05"/>
    <w:rsid w:val="276521AF"/>
    <w:rsid w:val="27E733C6"/>
    <w:rsid w:val="281409D1"/>
    <w:rsid w:val="28171FD2"/>
    <w:rsid w:val="285B7244"/>
    <w:rsid w:val="298E08BA"/>
    <w:rsid w:val="29D8200B"/>
    <w:rsid w:val="2A282CB7"/>
    <w:rsid w:val="2A71692E"/>
    <w:rsid w:val="2AEC6869"/>
    <w:rsid w:val="2AF12700"/>
    <w:rsid w:val="2C0D5456"/>
    <w:rsid w:val="2CCE28B7"/>
    <w:rsid w:val="2CE84DB9"/>
    <w:rsid w:val="2D10379C"/>
    <w:rsid w:val="2D330C23"/>
    <w:rsid w:val="2D637F86"/>
    <w:rsid w:val="2E215DBB"/>
    <w:rsid w:val="2E8203DE"/>
    <w:rsid w:val="2E855ADF"/>
    <w:rsid w:val="2EE2229A"/>
    <w:rsid w:val="2F557757"/>
    <w:rsid w:val="2F6861AA"/>
    <w:rsid w:val="2F6915D5"/>
    <w:rsid w:val="2F8649DC"/>
    <w:rsid w:val="2F890149"/>
    <w:rsid w:val="303A3694"/>
    <w:rsid w:val="30783819"/>
    <w:rsid w:val="313F6598"/>
    <w:rsid w:val="31A74402"/>
    <w:rsid w:val="31C6470B"/>
    <w:rsid w:val="32414601"/>
    <w:rsid w:val="32545820"/>
    <w:rsid w:val="32C307B9"/>
    <w:rsid w:val="33556DA9"/>
    <w:rsid w:val="336B2DEA"/>
    <w:rsid w:val="340A0022"/>
    <w:rsid w:val="348E3E46"/>
    <w:rsid w:val="34E31351"/>
    <w:rsid w:val="35A76E34"/>
    <w:rsid w:val="35B00680"/>
    <w:rsid w:val="361971D0"/>
    <w:rsid w:val="373A2B2A"/>
    <w:rsid w:val="385E50E3"/>
    <w:rsid w:val="3A8A198C"/>
    <w:rsid w:val="3AF60B72"/>
    <w:rsid w:val="3B371D24"/>
    <w:rsid w:val="3B6D1FBB"/>
    <w:rsid w:val="3BFD2D78"/>
    <w:rsid w:val="3C160DAC"/>
    <w:rsid w:val="3C185142"/>
    <w:rsid w:val="3C4D2301"/>
    <w:rsid w:val="3C743CBC"/>
    <w:rsid w:val="3D0F3EBA"/>
    <w:rsid w:val="3D252372"/>
    <w:rsid w:val="3E9E58CA"/>
    <w:rsid w:val="3F6413E1"/>
    <w:rsid w:val="3FA3270A"/>
    <w:rsid w:val="3FF1279E"/>
    <w:rsid w:val="406475D5"/>
    <w:rsid w:val="40690E3F"/>
    <w:rsid w:val="407E4ADB"/>
    <w:rsid w:val="409F7FC8"/>
    <w:rsid w:val="41446E23"/>
    <w:rsid w:val="414A67AD"/>
    <w:rsid w:val="414B4967"/>
    <w:rsid w:val="41C60AF2"/>
    <w:rsid w:val="41EA5032"/>
    <w:rsid w:val="425F0D40"/>
    <w:rsid w:val="42721A93"/>
    <w:rsid w:val="42EE66AD"/>
    <w:rsid w:val="43521101"/>
    <w:rsid w:val="435439A2"/>
    <w:rsid w:val="43F32722"/>
    <w:rsid w:val="44620F3E"/>
    <w:rsid w:val="45056264"/>
    <w:rsid w:val="4508505B"/>
    <w:rsid w:val="45934B33"/>
    <w:rsid w:val="45CB519E"/>
    <w:rsid w:val="463C0D22"/>
    <w:rsid w:val="466770FC"/>
    <w:rsid w:val="46DF4B55"/>
    <w:rsid w:val="485E084A"/>
    <w:rsid w:val="48A04659"/>
    <w:rsid w:val="48D73E04"/>
    <w:rsid w:val="494047F6"/>
    <w:rsid w:val="49755CC1"/>
    <w:rsid w:val="498C002E"/>
    <w:rsid w:val="4A634841"/>
    <w:rsid w:val="4A660DE1"/>
    <w:rsid w:val="4BA32825"/>
    <w:rsid w:val="4BB639C2"/>
    <w:rsid w:val="4C617760"/>
    <w:rsid w:val="4C74573F"/>
    <w:rsid w:val="4E046B0C"/>
    <w:rsid w:val="4E596E78"/>
    <w:rsid w:val="4E9F12AC"/>
    <w:rsid w:val="4EB643B1"/>
    <w:rsid w:val="4F7820DF"/>
    <w:rsid w:val="4FE428F7"/>
    <w:rsid w:val="50345982"/>
    <w:rsid w:val="503A71A6"/>
    <w:rsid w:val="506B4CFC"/>
    <w:rsid w:val="50E101BE"/>
    <w:rsid w:val="52662702"/>
    <w:rsid w:val="53294C00"/>
    <w:rsid w:val="54EB4860"/>
    <w:rsid w:val="54F1676A"/>
    <w:rsid w:val="553C65F0"/>
    <w:rsid w:val="55B41D2B"/>
    <w:rsid w:val="5664350F"/>
    <w:rsid w:val="56A154C2"/>
    <w:rsid w:val="56C63D59"/>
    <w:rsid w:val="57871C26"/>
    <w:rsid w:val="58186F97"/>
    <w:rsid w:val="58E41B62"/>
    <w:rsid w:val="59440C82"/>
    <w:rsid w:val="59704FCA"/>
    <w:rsid w:val="5A1A79E1"/>
    <w:rsid w:val="5ACE0119"/>
    <w:rsid w:val="5AE006A3"/>
    <w:rsid w:val="5B287B9E"/>
    <w:rsid w:val="5B5F3928"/>
    <w:rsid w:val="5B7244F6"/>
    <w:rsid w:val="5BF1159B"/>
    <w:rsid w:val="5CB32A73"/>
    <w:rsid w:val="5CBE30C2"/>
    <w:rsid w:val="5CC340BC"/>
    <w:rsid w:val="5D401A22"/>
    <w:rsid w:val="5D687808"/>
    <w:rsid w:val="5D8D288B"/>
    <w:rsid w:val="5DA659B4"/>
    <w:rsid w:val="5E330E89"/>
    <w:rsid w:val="5ED45F85"/>
    <w:rsid w:val="5EE2793A"/>
    <w:rsid w:val="5F0977F9"/>
    <w:rsid w:val="5F3B5A4A"/>
    <w:rsid w:val="60AF11AF"/>
    <w:rsid w:val="60BC1CCB"/>
    <w:rsid w:val="61ED279B"/>
    <w:rsid w:val="62154A5E"/>
    <w:rsid w:val="62694417"/>
    <w:rsid w:val="636D570E"/>
    <w:rsid w:val="643E4FD2"/>
    <w:rsid w:val="646E2E54"/>
    <w:rsid w:val="652A4D52"/>
    <w:rsid w:val="65853995"/>
    <w:rsid w:val="66807077"/>
    <w:rsid w:val="67227A2D"/>
    <w:rsid w:val="672A3FD1"/>
    <w:rsid w:val="682A60F2"/>
    <w:rsid w:val="68543166"/>
    <w:rsid w:val="68D32748"/>
    <w:rsid w:val="69402D4E"/>
    <w:rsid w:val="69403923"/>
    <w:rsid w:val="69894DB5"/>
    <w:rsid w:val="69A63060"/>
    <w:rsid w:val="69CA7D9D"/>
    <w:rsid w:val="6B105EB6"/>
    <w:rsid w:val="6BF57243"/>
    <w:rsid w:val="6BFC15B7"/>
    <w:rsid w:val="6C8044C3"/>
    <w:rsid w:val="6D373C2D"/>
    <w:rsid w:val="6D480FD8"/>
    <w:rsid w:val="6D9E51B8"/>
    <w:rsid w:val="6DC73E14"/>
    <w:rsid w:val="6DD83B98"/>
    <w:rsid w:val="6E355A81"/>
    <w:rsid w:val="6E6404AB"/>
    <w:rsid w:val="6F1A0ED3"/>
    <w:rsid w:val="6F245507"/>
    <w:rsid w:val="709906C0"/>
    <w:rsid w:val="70A4425D"/>
    <w:rsid w:val="70D056C3"/>
    <w:rsid w:val="717026AC"/>
    <w:rsid w:val="71967069"/>
    <w:rsid w:val="722111CB"/>
    <w:rsid w:val="72ED68F0"/>
    <w:rsid w:val="72FC1E33"/>
    <w:rsid w:val="731C48E6"/>
    <w:rsid w:val="732142EA"/>
    <w:rsid w:val="738833AE"/>
    <w:rsid w:val="741A6931"/>
    <w:rsid w:val="745D2CF4"/>
    <w:rsid w:val="74674908"/>
    <w:rsid w:val="7491127E"/>
    <w:rsid w:val="74BD4884"/>
    <w:rsid w:val="750C35C0"/>
    <w:rsid w:val="752941FD"/>
    <w:rsid w:val="761F61D8"/>
    <w:rsid w:val="76433C09"/>
    <w:rsid w:val="76B864E6"/>
    <w:rsid w:val="76E01C9C"/>
    <w:rsid w:val="779821C1"/>
    <w:rsid w:val="78EE0B1F"/>
    <w:rsid w:val="799B4F15"/>
    <w:rsid w:val="7A361B91"/>
    <w:rsid w:val="7A5E257D"/>
    <w:rsid w:val="7BC30C57"/>
    <w:rsid w:val="7C57180B"/>
    <w:rsid w:val="7DBA6AEF"/>
    <w:rsid w:val="7DD84285"/>
    <w:rsid w:val="7DEA4CB9"/>
    <w:rsid w:val="7DFD696E"/>
    <w:rsid w:val="7E0E695E"/>
    <w:rsid w:val="7E727CF4"/>
    <w:rsid w:val="7F291F86"/>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99"/>
    <w:pPr>
      <w:spacing w:line="440" w:lineRule="exact"/>
      <w:ind w:left="300" w:leftChars="143" w:firstLine="600" w:firstLineChars="200"/>
    </w:pPr>
    <w:rPr>
      <w:rFonts w:ascii="仿宋_GB2312" w:eastAsia="仿宋_GB2312" w:cs="仿宋_GB2312"/>
      <w:sz w:val="30"/>
      <w:szCs w:val="30"/>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3261</Words>
  <Characters>3433</Characters>
  <Lines>0</Lines>
  <Paragraphs>0</Paragraphs>
  <TotalTime>24</TotalTime>
  <ScaleCrop>false</ScaleCrop>
  <LinksUpToDate>false</LinksUpToDate>
  <CharactersWithSpaces>3779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2025-02-19T09:13:00Z</cp:lastPrinted>
  <dcterms:modified xsi:type="dcterms:W3CDTF">2025-09-24T10:03:58Z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98782E13A5DC4CD6846610360D73F5AE</vt:lpwstr>
  </property>
  <property fmtid="{D5CDD505-2E9C-101B-9397-08002B2CF9AE}" pid="4" name="KSOTemplateDocerSaveRecord">
    <vt:lpwstr>eyJoZGlkIjoiMjhjYjA5MTE5ZDA4NTVkMjc4ZGUyZjQzZWU4NWQ2Y2YiLCJ1c2VySWQiOiI5NTE2MTA2NTAifQ==</vt:lpwstr>
  </property>
</Properties>
</file>