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160</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val="en-US" w:eastAsia="zh-CN"/>
        </w:rPr>
        <w:t>乌苏市佑宁中西医药房</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统一社会信用代码：91654202MA</w:t>
      </w:r>
      <w:r>
        <w:rPr>
          <w:rFonts w:hint="eastAsia" w:ascii="Times New Roman" w:hAnsi="Times New Roman" w:eastAsia="仿宋_GB2312" w:cs="Times New Roman"/>
          <w:spacing w:val="0"/>
          <w:sz w:val="32"/>
          <w:szCs w:val="32"/>
          <w:u w:val="none"/>
          <w:lang w:val="en-US" w:eastAsia="zh-CN"/>
        </w:rPr>
        <w:t>78U4CE23</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spacing w:val="0"/>
          <w:sz w:val="32"/>
          <w:szCs w:val="32"/>
          <w:u w:val="none"/>
          <w:lang w:val="en-US" w:eastAsia="zh-CN"/>
        </w:rPr>
        <w:t>新疆塔城地区乌苏市信江路汇福园小区15号楼1-09号商铺</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投资人：</w:t>
      </w:r>
      <w:r>
        <w:rPr>
          <w:rFonts w:hint="eastAsia" w:ascii="Times New Roman" w:hAnsi="Times New Roman" w:eastAsia="仿宋_GB2312" w:cs="Times New Roman"/>
          <w:spacing w:val="0"/>
          <w:sz w:val="32"/>
          <w:szCs w:val="32"/>
          <w:u w:val="none"/>
          <w:lang w:val="en-US" w:eastAsia="zh-CN"/>
        </w:rPr>
        <w:t>马*</w:t>
      </w:r>
      <w:r>
        <w:rPr>
          <w:rFonts w:hint="default"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2025年6月30日，执法人员对乌苏市佑宁中西医药房开展《药品经营许可证》延续许可现场验收检查，检查时</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药房正常经营，执法人员出示执法证说明</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lang w:val="en-US" w:eastAsia="zh-CN"/>
        </w:rPr>
        <w:t>来意，该公司法定代表人马</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和质量负责人甘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现场全程配合检查。现场检查发现：1、执法人员在该店经营场所西侧靠墙标示为“乙类非处方药”陈列柜上发现：（1）金银花，标签标示贮藏：置阴凉干燥处，防潮，防蛀，执行标准：《中国药典》2020年版一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（2）菊花（胎菊），装量：40g，贮藏：置阴凉干燥处，密闭保存，防霉，防蛀，执行标准：《浙江省中药炮制规范》2015年版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润肺膏，批准文号：国药准字Z20174066，上市许可持有人：安徽祥隆药业有限公司，贮藏：密闭，置阴凉干燥处，上述药品未按储存要求陈列在阴凉柜中，现场常温区温度计显示实时温度为28℃；2、执法人员查看该店培训档案，发现该店未制定年度培训计划，未做培训记录；3、该店未建立健康档案，仅有员工健康证；4、现场未见该店制定的符合企业实际的质量管理文件；5、执法人员现场抽取处方药：替米沙坦片，标签标示规格：80毫克，批准文号：国药准字HJ2017003，分包装厂：上海勃林格殷格翰药业有限公司，分装批号：E74506，该店于2024年9月22日销售2盒，经查询处方笺，发现该处方笺已作废，且审核、调配、核发签字处均无人签字；6、该店现场未能提供上述批次药品的同批号检验报告书。当事人未凭处方销售处方药的行为涉嫌违反《药品经营和使用质量监督管理办法》第四十二条第一款的规定；未遵守《药品经营质量管理规范》第一百二十八条、第一百三十一条、第一百三十三条、第一百五十六条的规定，涉嫌违反《中华人民共和国药品管理法》第五十三条第一款的规定。</w:t>
      </w:r>
      <w:r>
        <w:rPr>
          <w:rFonts w:hint="default" w:ascii="Times New Roman" w:hAnsi="Times New Roman" w:eastAsia="仿宋_GB2312" w:cs="Times New Roman"/>
          <w:color w:val="auto"/>
          <w:sz w:val="32"/>
          <w:szCs w:val="32"/>
          <w:lang w:val="en-US" w:eastAsia="zh-CN"/>
        </w:rPr>
        <w:t>为进一步了解情况，经报局领导批准，于2025年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日立案，并指派江恩里·阿依可加、孙紫玮对此案进行调查了解。本案于2025年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经查，</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月30日，我局执法人员在乌苏市佑宁中西医药房监督检查时，</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该店经营场所西侧靠墙标示为“乙类非处方药”陈列柜上发现：（1）金银花，标签标示贮藏：置阴凉干燥处，防潮，防蛀，执行标准：《中国药典》2020年版一部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（2）菊花（胎菊），装量：40g，贮藏：置阴凉干燥处，密闭保存，防霉，防蛀，执行标准：《浙江省中药炮制规范》2015年版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（3）润肺膏，批准文号：国药准字Z20174066，上市许可持有人：安徽祥隆药业有限公司，贮藏：密闭，置阴凉干燥处，上述药品未按储存要求陈列在阴凉柜中，现场常温区温度计显示实时温度为28℃</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根据《中国药典》规定，贮藏要求“</w:t>
      </w:r>
      <w:r>
        <w:rPr>
          <w:rFonts w:hint="default" w:ascii="Times New Roman" w:hAnsi="Times New Roman" w:eastAsia="仿宋_GB2312" w:cs="Times New Roman"/>
          <w:sz w:val="32"/>
          <w:szCs w:val="32"/>
          <w:lang w:val="en-US" w:eastAsia="zh-CN"/>
        </w:rPr>
        <w:t xml:space="preserve">阴凉处 </w:t>
      </w:r>
      <w:bookmarkStart w:id="3" w:name="_GoBack"/>
      <w:r>
        <w:rPr>
          <w:rFonts w:hint="default" w:ascii="Times New Roman" w:hAnsi="Times New Roman" w:eastAsia="仿宋_GB2312" w:cs="Times New Roman"/>
          <w:sz w:val="32"/>
          <w:szCs w:val="32"/>
          <w:highlight w:val="none"/>
          <w:lang w:val="en-US" w:eastAsia="zh-CN"/>
        </w:rPr>
        <w:t>系指</w:t>
      </w:r>
      <w:bookmarkEnd w:id="3"/>
      <w:r>
        <w:rPr>
          <w:rFonts w:hint="default" w:ascii="Times New Roman" w:hAnsi="Times New Roman" w:eastAsia="仿宋_GB2312" w:cs="Times New Roman"/>
          <w:sz w:val="32"/>
          <w:szCs w:val="32"/>
          <w:lang w:val="en-US" w:eastAsia="zh-CN"/>
        </w:rPr>
        <w:t>不超过20℃”</w:t>
      </w:r>
      <w:r>
        <w:rPr>
          <w:rFonts w:hint="eastAsia" w:ascii="Times New Roman" w:hAnsi="Times New Roman" w:eastAsia="仿宋_GB2312" w:cs="Times New Roman"/>
          <w:sz w:val="32"/>
          <w:szCs w:val="32"/>
          <w:lang w:val="en-US" w:eastAsia="zh-CN"/>
        </w:rPr>
        <w:t>；该药房未制定年度培训计划，开展培训未做培训记录；未建立健康档案，仅办理了从业人员健康证；未制定符合企业实际的质量管理制度文件；该药房于</w:t>
      </w:r>
      <w:r>
        <w:rPr>
          <w:rFonts w:hint="default" w:ascii="Times New Roman" w:hAnsi="Times New Roman" w:eastAsia="仿宋_GB2312" w:cs="Times New Roman"/>
          <w:sz w:val="32"/>
          <w:szCs w:val="32"/>
          <w:lang w:val="en-US" w:eastAsia="zh-CN"/>
        </w:rPr>
        <w:t>2024年9月22日</w:t>
      </w:r>
      <w:r>
        <w:rPr>
          <w:rFonts w:hint="eastAsia" w:ascii="Times New Roman" w:hAnsi="Times New Roman" w:eastAsia="仿宋_GB2312" w:cs="Times New Roman"/>
          <w:sz w:val="32"/>
          <w:szCs w:val="32"/>
          <w:lang w:val="en-US" w:eastAsia="zh-CN"/>
        </w:rPr>
        <w:t>销售</w:t>
      </w:r>
      <w:r>
        <w:rPr>
          <w:rFonts w:hint="default" w:ascii="Times New Roman" w:hAnsi="Times New Roman" w:eastAsia="仿宋_GB2312" w:cs="Times New Roman"/>
          <w:sz w:val="32"/>
          <w:szCs w:val="32"/>
          <w:lang w:val="en-US" w:eastAsia="zh-CN"/>
        </w:rPr>
        <w:t>处方药：替米沙坦片，标签标示规格：80毫克，批准文号：国药准字HJ2017003，分包装厂：上海勃林格殷格翰药业有限公司，分装批号：E74506</w:t>
      </w:r>
      <w:r>
        <w:rPr>
          <w:rFonts w:hint="eastAsia" w:ascii="Times New Roman" w:hAnsi="Times New Roman" w:eastAsia="仿宋_GB2312" w:cs="Times New Roman"/>
          <w:sz w:val="32"/>
          <w:szCs w:val="32"/>
          <w:lang w:val="en-US" w:eastAsia="zh-CN"/>
        </w:rPr>
        <w:t>，销售数量为2盒，但处方笺显示已作废且审核、调配、核发签字处均未签字，另查明，2024年1月16日，我局执法人员对当事人未经药师审核销售处方药的行为下达《责令改正通知书》</w:t>
      </w:r>
      <w:r>
        <w:rPr>
          <w:rFonts w:hint="default" w:ascii="Times New Roman" w:hAnsi="Times New Roman" w:eastAsia="仿宋_GB2312" w:cs="Times New Roman"/>
          <w:bCs/>
          <w:sz w:val="32"/>
          <w:szCs w:val="32"/>
          <w:lang w:val="en-US" w:eastAsia="zh-CN"/>
        </w:rPr>
        <w:t>（乌市监责改〔2024〕</w:t>
      </w:r>
      <w:r>
        <w:rPr>
          <w:rFonts w:hint="eastAsia" w:ascii="Times New Roman" w:hAnsi="Times New Roman" w:eastAsia="仿宋_GB2312" w:cs="Times New Roman"/>
          <w:bCs/>
          <w:sz w:val="32"/>
          <w:szCs w:val="32"/>
          <w:lang w:val="en-US" w:eastAsia="zh-CN"/>
        </w:rPr>
        <w:t>0116</w:t>
      </w:r>
      <w:r>
        <w:rPr>
          <w:rFonts w:hint="default" w:ascii="Times New Roman" w:hAnsi="Times New Roman" w:eastAsia="仿宋_GB2312" w:cs="Times New Roman"/>
          <w:bCs/>
          <w:sz w:val="32"/>
          <w:szCs w:val="32"/>
          <w:lang w:val="en-US" w:eastAsia="zh-CN"/>
        </w:rPr>
        <w:t>号）</w:t>
      </w:r>
      <w:r>
        <w:rPr>
          <w:rFonts w:hint="eastAsia" w:ascii="Times New Roman" w:hAnsi="Times New Roman" w:eastAsia="仿宋_GB2312" w:cs="Times New Roman"/>
          <w:bCs/>
          <w:sz w:val="32"/>
          <w:szCs w:val="32"/>
          <w:lang w:val="en-US" w:eastAsia="zh-CN"/>
        </w:rPr>
        <w:t>，当事人现场签收；验收药品时未逐批查验药品的同批号检验报告书</w:t>
      </w:r>
      <w:r>
        <w:rPr>
          <w:rFonts w:hint="default" w:ascii="Times New Roman" w:hAnsi="Times New Roman" w:eastAsia="仿宋_GB2312" w:cs="Times New Roman"/>
          <w:sz w:val="32"/>
          <w:szCs w:val="32"/>
          <w:lang w:val="en-US" w:eastAsia="zh-CN"/>
        </w:rPr>
        <w:t>。当事人的上述行为已构成未</w:t>
      </w:r>
      <w:r>
        <w:rPr>
          <w:rFonts w:hint="eastAsia" w:ascii="Times New Roman" w:hAnsi="Times New Roman" w:eastAsia="仿宋_GB2312" w:cs="Times New Roman"/>
          <w:sz w:val="32"/>
          <w:szCs w:val="32"/>
          <w:lang w:val="en-US" w:eastAsia="zh-CN"/>
        </w:rPr>
        <w:t>按规定</w:t>
      </w:r>
      <w:r>
        <w:rPr>
          <w:rFonts w:hint="default" w:ascii="Times New Roman" w:hAnsi="Times New Roman" w:eastAsia="仿宋_GB2312" w:cs="Times New Roman"/>
          <w:sz w:val="32"/>
          <w:szCs w:val="32"/>
          <w:lang w:val="en-US" w:eastAsia="zh-CN"/>
        </w:rPr>
        <w:t>销售处方药且未遵守《药品经营质量管理规范》</w:t>
      </w:r>
      <w:r>
        <w:rPr>
          <w:rFonts w:hint="default" w:ascii="Times New Roman" w:hAnsi="Times New Roman" w:eastAsia="仿宋_GB2312" w:cs="Times New Roman"/>
          <w:bCs/>
          <w:sz w:val="32"/>
          <w:szCs w:val="32"/>
          <w:lang w:val="en-US" w:eastAsia="zh-CN"/>
        </w:rPr>
        <w:t>经营药品的违法行为。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投资人马*</w:t>
      </w:r>
      <w:r>
        <w:rPr>
          <w:rFonts w:hint="default" w:ascii="Times New Roman" w:hAnsi="Times New Roman" w:eastAsia="仿宋_GB2312" w:cs="Times New Roman"/>
          <w:color w:val="000000"/>
          <w:sz w:val="32"/>
          <w:szCs w:val="32"/>
          <w:u w:val="none"/>
          <w:lang w:val="en-US" w:eastAsia="zh-CN"/>
        </w:rPr>
        <w:t>身份证复印件1份，由当事人提供，证明当事人身份信息与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w:t>
      </w:r>
      <w:r>
        <w:rPr>
          <w:rFonts w:hint="eastAsia" w:ascii="Times New Roman" w:hAnsi="Times New Roman" w:eastAsia="仿宋_GB2312" w:cs="Times New Roman"/>
          <w:color w:val="000000"/>
          <w:sz w:val="32"/>
          <w:szCs w:val="32"/>
          <w:lang w:eastAsia="zh-CN"/>
        </w:rPr>
        <w:t>投资人与法定代表人</w:t>
      </w:r>
      <w:r>
        <w:rPr>
          <w:rFonts w:hint="default"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lang w:val="en-US" w:eastAsia="zh-CN"/>
        </w:rPr>
        <w:t>信息</w:t>
      </w:r>
      <w:r>
        <w:rPr>
          <w:rFonts w:hint="default" w:ascii="Times New Roman" w:hAnsi="Times New Roman" w:eastAsia="仿宋_GB2312" w:cs="Times New Roman"/>
          <w:color w:val="000000"/>
          <w:sz w:val="32"/>
          <w:szCs w:val="32"/>
          <w:lang w:eastAsia="zh-CN"/>
        </w:rPr>
        <w:t>相符；</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eastAsia" w:ascii="Times New Roman" w:hAnsi="Times New Roman" w:eastAsia="仿宋_GB2312" w:cs="Times New Roman"/>
          <w:sz w:val="32"/>
          <w:szCs w:val="32"/>
          <w:lang w:val="en-US" w:eastAsia="zh-CN"/>
        </w:rPr>
        <w:t>未按规定销售处方药且</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张，音像视频资料1份，证明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月30日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和调取的相关凭证的事实</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eastAsia="zh-CN"/>
        </w:rPr>
        <w:t>现场提取的药品标签照片</w:t>
      </w:r>
      <w:r>
        <w:rPr>
          <w:rFonts w:hint="eastAsia" w:ascii="Times New Roman" w:hAnsi="Times New Roman" w:eastAsia="仿宋_GB2312" w:cs="Times New Roman"/>
          <w:color w:val="000000"/>
          <w:sz w:val="32"/>
          <w:szCs w:val="32"/>
          <w:lang w:val="en-US" w:eastAsia="zh-CN"/>
        </w:rPr>
        <w:t>5张、常温区温湿度计照片1张、处方笺和销售记录照片各1张，证明当事人未按温度要求陈列药品和未按规定销售处方药的事实；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《责令改正通知书》（乌市监责改〔2024〕</w:t>
      </w:r>
      <w:r>
        <w:rPr>
          <w:rFonts w:hint="eastAsia" w:ascii="Times New Roman" w:hAnsi="Times New Roman" w:eastAsia="仿宋_GB2312" w:cs="Times New Roman"/>
          <w:bCs/>
          <w:color w:val="auto"/>
          <w:sz w:val="32"/>
          <w:szCs w:val="32"/>
          <w:lang w:val="en-US" w:eastAsia="zh-CN"/>
        </w:rPr>
        <w:t>0116</w:t>
      </w:r>
      <w:r>
        <w:rPr>
          <w:rFonts w:hint="default" w:ascii="Times New Roman" w:hAnsi="Times New Roman" w:eastAsia="仿宋_GB2312" w:cs="Times New Roman"/>
          <w:color w:val="auto"/>
          <w:sz w:val="32"/>
          <w:szCs w:val="32"/>
          <w:u w:val="none"/>
          <w:lang w:val="en-US" w:eastAsia="zh-CN"/>
        </w:rPr>
        <w:t>号）复印件1份，证明2024年</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lang w:val="en-US" w:eastAsia="zh-CN"/>
        </w:rPr>
        <w:t>日，我局执法人员现场对当事人</w:t>
      </w:r>
      <w:r>
        <w:rPr>
          <w:rFonts w:hint="eastAsia" w:ascii="Times New Roman" w:hAnsi="Times New Roman" w:eastAsia="仿宋_GB2312" w:cs="Times New Roman"/>
          <w:color w:val="auto"/>
          <w:sz w:val="32"/>
          <w:szCs w:val="32"/>
          <w:lang w:val="en-US" w:eastAsia="zh-CN"/>
        </w:rPr>
        <w:t>未经药师审核销售处方药</w:t>
      </w:r>
      <w:r>
        <w:rPr>
          <w:rFonts w:hint="default" w:ascii="Times New Roman" w:hAnsi="Times New Roman" w:eastAsia="仿宋_GB2312" w:cs="Times New Roman"/>
          <w:color w:val="auto"/>
          <w:sz w:val="32"/>
          <w:szCs w:val="32"/>
          <w:u w:val="none"/>
          <w:lang w:val="en-US" w:eastAsia="zh-CN"/>
        </w:rPr>
        <w:t>的行为下达了《责令改正通知书》，责令当事人改正违法行为的事实</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lang w:val="en-US" w:eastAsia="zh-CN"/>
        </w:rPr>
        <w:t>我局于2025年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月3日依法向当事人送达了《行政处罚告知书》（塔乌市监罚告〔2025〕1</w:t>
      </w:r>
      <w:r>
        <w:rPr>
          <w:rFonts w:hint="eastAsia" w:ascii="Times New Roman" w:hAnsi="Times New Roman" w:eastAsia="仿宋_GB2312" w:cs="Times New Roman"/>
          <w:color w:val="000000"/>
          <w:sz w:val="32"/>
          <w:szCs w:val="32"/>
          <w:lang w:val="en-US" w:eastAsia="zh-CN"/>
        </w:rPr>
        <w:t>62</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当事人</w:t>
      </w:r>
      <w:r>
        <w:rPr>
          <w:rFonts w:hint="eastAsia" w:ascii="Times New Roman" w:hAnsi="Times New Roman" w:eastAsia="仿宋_GB2312" w:cs="Times New Roman"/>
          <w:color w:val="auto"/>
          <w:sz w:val="32"/>
          <w:szCs w:val="32"/>
          <w:lang w:val="en-US" w:eastAsia="zh-CN"/>
        </w:rPr>
        <w:t>未按规定销售处方药的行为违反</w:t>
      </w:r>
      <w:r>
        <w:rPr>
          <w:rFonts w:hint="eastAsia" w:ascii="Times New Roman" w:hAnsi="Times New Roman" w:eastAsia="仿宋_GB2312" w:cs="Times New Roman"/>
          <w:color w:val="000000"/>
          <w:sz w:val="32"/>
          <w:szCs w:val="32"/>
          <w:lang w:val="en-US" w:eastAsia="zh-CN"/>
        </w:rPr>
        <w:t>了《药品经营和使用质量监督管理办法》第四十二条第一款“药品零售企业应当遵守国家处方药与非处方药分类管理制度，按规定凭处方销售处方药，处方保留不少于五年。”第五款“药品零售企业营业时间内，依法经过资格认定的药师或者其他药学技术人员不在岗时，应当挂牌告知。未经依法经过资格认定的药师或者其他药学技术人员审核，不得销售处方药。”的规定；未遵守</w:t>
      </w:r>
      <w:r>
        <w:rPr>
          <w:rFonts w:hint="default" w:ascii="Times New Roman" w:hAnsi="Times New Roman" w:eastAsia="仿宋_GB2312" w:cs="Times New Roman"/>
          <w:sz w:val="32"/>
          <w:szCs w:val="32"/>
          <w:lang w:val="en-US" w:eastAsia="zh-CN"/>
        </w:rPr>
        <w:t>《药品经营质量管理规范》第一百二十八条</w:t>
      </w:r>
      <w:r>
        <w:rPr>
          <w:rFonts w:hint="eastAsia" w:ascii="Times New Roman" w:hAnsi="Times New Roman" w:eastAsia="仿宋_GB2312" w:cs="Times New Roman"/>
          <w:sz w:val="32"/>
          <w:szCs w:val="32"/>
          <w:lang w:val="en-US" w:eastAsia="zh-CN"/>
        </w:rPr>
        <w:t>“企业应当按照培训管理制度制定年度培训计划并开展培训，使相关人员能正确理解并履行职责。培训工作应当做好记录并建立档案。”</w:t>
      </w:r>
      <w:r>
        <w:rPr>
          <w:rFonts w:hint="default" w:ascii="Times New Roman" w:hAnsi="Times New Roman" w:eastAsia="仿宋_GB2312" w:cs="Times New Roman"/>
          <w:sz w:val="32"/>
          <w:szCs w:val="32"/>
          <w:lang w:val="en-US" w:eastAsia="zh-CN"/>
        </w:rPr>
        <w:t>、第一百三十一条</w:t>
      </w:r>
      <w:r>
        <w:rPr>
          <w:rFonts w:hint="eastAsia" w:ascii="Times New Roman" w:hAnsi="Times New Roman" w:eastAsia="仿宋_GB2312" w:cs="Times New Roman"/>
          <w:sz w:val="32"/>
          <w:szCs w:val="32"/>
          <w:lang w:val="en-US" w:eastAsia="zh-CN"/>
        </w:rPr>
        <w:t>“企业应当对直接接触药品岗位的人员进行岗前及年度健康检查，并建立健康档案。患有传染病或者其他可能污染药品的疾病的，不得从事直接接触药品的工作。”</w:t>
      </w:r>
      <w:r>
        <w:rPr>
          <w:rFonts w:hint="default" w:ascii="Times New Roman" w:hAnsi="Times New Roman" w:eastAsia="仿宋_GB2312" w:cs="Times New Roman"/>
          <w:sz w:val="32"/>
          <w:szCs w:val="32"/>
          <w:lang w:val="en-US" w:eastAsia="zh-CN"/>
        </w:rPr>
        <w:t>、第一百三十三条</w:t>
      </w:r>
      <w:r>
        <w:rPr>
          <w:rFonts w:hint="eastAsia" w:ascii="Times New Roman" w:hAnsi="Times New Roman" w:eastAsia="仿宋_GB2312" w:cs="Times New Roman"/>
          <w:sz w:val="32"/>
          <w:szCs w:val="32"/>
          <w:lang w:val="en-US" w:eastAsia="zh-CN"/>
        </w:rPr>
        <w:t>“企业应当按照有关法律法规及本规范的规定，制定符合企业实际的质量管理文件。文件包括质量管理制度、岗位职责、操作规程、档案、记录和凭证等，并对质量管理文件定期审核、及时修订。”</w:t>
      </w:r>
      <w:r>
        <w:rPr>
          <w:rFonts w:hint="default" w:ascii="Times New Roman" w:hAnsi="Times New Roman" w:eastAsia="仿宋_GB2312" w:cs="Times New Roman"/>
          <w:sz w:val="32"/>
          <w:szCs w:val="32"/>
          <w:lang w:val="en-US" w:eastAsia="zh-CN"/>
        </w:rPr>
        <w:t>、第一百五十六条</w:t>
      </w:r>
      <w:r>
        <w:rPr>
          <w:rFonts w:hint="eastAsia" w:ascii="Times New Roman" w:hAnsi="Times New Roman" w:eastAsia="仿宋_GB2312" w:cs="Times New Roman"/>
          <w:sz w:val="32"/>
          <w:szCs w:val="32"/>
          <w:lang w:val="en-US" w:eastAsia="zh-CN"/>
        </w:rPr>
        <w:t>“验收药品应当按照本规范第七十六条规定查验药品检验报告书。”</w:t>
      </w:r>
      <w:r>
        <w:rPr>
          <w:rFonts w:hint="default" w:ascii="Times New Roman" w:hAnsi="Times New Roman" w:eastAsia="仿宋_GB2312" w:cs="Times New Roman"/>
          <w:sz w:val="32"/>
          <w:szCs w:val="32"/>
          <w:lang w:val="en-US" w:eastAsia="zh-CN"/>
        </w:rPr>
        <w:t>的规定，</w:t>
      </w:r>
      <w:r>
        <w:rPr>
          <w:rFonts w:hint="default" w:ascii="Times New Roman" w:hAnsi="Times New Roman" w:eastAsia="仿宋_GB2312" w:cs="Times New Roman"/>
          <w:color w:val="000000"/>
          <w:sz w:val="32"/>
          <w:szCs w:val="32"/>
          <w:lang w:val="en-US" w:eastAsia="zh-CN"/>
        </w:rPr>
        <w:t>违反</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w:t>
      </w:r>
      <w:r>
        <w:rPr>
          <w:rFonts w:hint="eastAsia" w:ascii="Times New Roman" w:hAnsi="Times New Roman" w:eastAsia="仿宋_GB2312" w:cs="Times New Roman"/>
          <w:color w:val="000000"/>
          <w:sz w:val="32"/>
          <w:szCs w:val="32"/>
          <w:lang w:val="en-US" w:eastAsia="zh-CN"/>
        </w:rPr>
        <w:t>未按规定销售处方药和</w:t>
      </w:r>
      <w:r>
        <w:rPr>
          <w:rFonts w:hint="default" w:ascii="Times New Roman" w:hAnsi="Times New Roman" w:eastAsia="仿宋_GB2312" w:cs="Times New Roman"/>
          <w:color w:val="000000"/>
          <w:sz w:val="32"/>
          <w:szCs w:val="32"/>
          <w:lang w:val="en-US" w:eastAsia="zh-CN"/>
        </w:rPr>
        <w:t>未遵守《药品经营质量管理规范》经营药品的违法行为。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sz w:val="32"/>
          <w:szCs w:val="32"/>
          <w:lang w:val="en-US" w:eastAsia="zh-CN"/>
        </w:rPr>
        <w:t>鉴于当事人在案件办理过程中态度端正，积极配合执法人员调查取证，如实陈述违法事实，并主动提供证据材料且积极改正违法行为。</w:t>
      </w:r>
      <w:r>
        <w:rPr>
          <w:rFonts w:hint="default" w:ascii="Times New Roman" w:hAnsi="Times New Roman" w:eastAsia="仿宋_GB2312" w:cs="Times New Roman"/>
          <w:bCs/>
          <w:sz w:val="32"/>
          <w:szCs w:val="32"/>
          <w:lang w:val="en-US" w:eastAsia="zh-CN"/>
        </w:rPr>
        <w:t>当事人上述情况符合</w:t>
      </w:r>
      <w:r>
        <w:rPr>
          <w:rFonts w:hint="default" w:ascii="Times New Roman" w:hAnsi="Times New Roman" w:eastAsia="仿宋_GB2312" w:cs="Times New Roman"/>
          <w:bCs/>
          <w:color w:val="auto"/>
          <w:sz w:val="32"/>
          <w:szCs w:val="32"/>
          <w:lang w:val="en-US" w:eastAsia="zh-CN"/>
        </w:rPr>
        <w:t>《药品监督管理行政处罚裁量适用规则》第</w:t>
      </w:r>
      <w:r>
        <w:rPr>
          <w:rFonts w:hint="default" w:ascii="Times New Roman" w:hAnsi="Times New Roman" w:eastAsia="仿宋_GB2312" w:cs="Times New Roman"/>
          <w:bCs/>
          <w:sz w:val="32"/>
          <w:szCs w:val="32"/>
          <w:lang w:val="en-US" w:eastAsia="zh-CN"/>
        </w:rPr>
        <w:t>十一条第二项“当事人有下列情形之一的，可以从轻或者减轻行政处罚：（二）积极配合药品监督管理部门调查并主动提供证据材料的；”规定的情形</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color w:val="000000"/>
          <w:sz w:val="32"/>
          <w:szCs w:val="32"/>
          <w:lang w:val="en-US" w:eastAsia="zh-CN"/>
        </w:rPr>
        <w:t>参照《新疆维吾尔自治区 新疆生产建设兵团药品监督管理行政处罚裁量基准》药品10项“违法行为：违反《</w:t>
      </w:r>
      <w:r>
        <w:rPr>
          <w:rFonts w:hint="eastAsia" w:ascii="Times New Roman" w:hAnsi="Times New Roman" w:eastAsia="仿宋_GB2312" w:cs="Times New Roman"/>
          <w:color w:val="000000"/>
          <w:sz w:val="32"/>
          <w:szCs w:val="32"/>
          <w:lang w:val="en-US" w:eastAsia="zh-CN"/>
        </w:rPr>
        <w:t>中华人民共和国药品管理法</w:t>
      </w:r>
      <w:r>
        <w:rPr>
          <w:rFonts w:hint="default" w:ascii="Times New Roman" w:hAnsi="Times New Roman" w:eastAsia="仿宋_GB2312" w:cs="Times New Roman"/>
          <w:color w:val="000000"/>
          <w:sz w:val="32"/>
          <w:szCs w:val="32"/>
          <w:lang w:val="en-US" w:eastAsia="zh-CN"/>
        </w:rPr>
        <w:t>》第一百二十六条的行为；裁量等级：减轻；裁量情节：符合《裁量规则》减轻行政处罚情形的；裁量基准：一般情形：逾期不改正的，处10万元以下的罚款”</w:t>
      </w:r>
      <w:r>
        <w:rPr>
          <w:rFonts w:hint="default" w:ascii="Times New Roman" w:hAnsi="Times New Roman" w:eastAsia="仿宋_GB2312" w:cs="Times New Roman"/>
          <w:bCs/>
          <w:sz w:val="32"/>
          <w:szCs w:val="32"/>
          <w:lang w:val="en-US" w:eastAsia="zh-CN"/>
        </w:rPr>
        <w:t>，以及药品29项“违法行为：药品零售企业有下列情形之一的：（一）未按规定凭处方销售处方药的；（三）违反本办法第四十二条第五款规定的药师或者药学技术人员管理要求的。裁量等级：减轻；裁量情节：符合</w:t>
      </w:r>
      <w:r>
        <w:rPr>
          <w:rFonts w:hint="default" w:ascii="Times New Roman" w:hAnsi="Times New Roman" w:eastAsia="仿宋_GB2312" w:cs="Times New Roman"/>
          <w:color w:val="000000"/>
          <w:sz w:val="32"/>
          <w:szCs w:val="32"/>
          <w:lang w:val="en-US" w:eastAsia="zh-CN"/>
        </w:rPr>
        <w:t>《裁量规则》减轻行政处罚情形的。裁量基准：一般情形：逾期不改正的，处</w:t>
      </w:r>
      <w:r>
        <w:rPr>
          <w:rFonts w:hint="eastAsia" w:ascii="Times New Roman" w:hAnsi="Times New Roman" w:eastAsia="仿宋_GB2312" w:cs="Times New Roman"/>
          <w:color w:val="000000"/>
          <w:sz w:val="32"/>
          <w:szCs w:val="32"/>
          <w:lang w:val="en-US" w:eastAsia="zh-CN"/>
        </w:rPr>
        <w:t>5000</w:t>
      </w:r>
      <w:r>
        <w:rPr>
          <w:rFonts w:hint="default" w:ascii="Times New Roman" w:hAnsi="Times New Roman" w:eastAsia="仿宋_GB2312" w:cs="Times New Roman"/>
          <w:color w:val="000000"/>
          <w:sz w:val="32"/>
          <w:szCs w:val="32"/>
          <w:lang w:val="en-US" w:eastAsia="zh-CN"/>
        </w:rPr>
        <w:t>元以下罚款。</w:t>
      </w:r>
      <w:r>
        <w:rPr>
          <w:rFonts w:hint="default" w:ascii="Times New Roman" w:hAnsi="Times New Roman" w:eastAsia="仿宋_GB2312" w:cs="Times New Roman"/>
          <w:bCs/>
          <w:sz w:val="32"/>
          <w:szCs w:val="32"/>
          <w:lang w:val="en-US" w:eastAsia="zh-CN"/>
        </w:rPr>
        <w:t>”的规定，</w:t>
      </w:r>
      <w:r>
        <w:rPr>
          <w:rFonts w:hint="default" w:ascii="Times New Roman" w:hAnsi="Times New Roman" w:eastAsia="仿宋_GB2312" w:cs="Times New Roman"/>
          <w:sz w:val="32"/>
          <w:szCs w:val="32"/>
          <w:lang w:eastAsia="zh-CN"/>
        </w:rPr>
        <w:t>综合考虑个案情况、当事人客观情况等相关因素，坚持处罚与教育相结合的原则，</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lang w:eastAsia="zh-CN"/>
        </w:rPr>
        <w:t>给予当事人减轻行政处罚。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对当事人未按规定销售处方药的行为，依据</w:t>
      </w:r>
      <w:r>
        <w:rPr>
          <w:rFonts w:hint="eastAsia" w:ascii="Times New Roman" w:hAnsi="Times New Roman" w:eastAsia="仿宋_GB2312" w:cs="Times New Roman"/>
          <w:color w:val="000000"/>
          <w:sz w:val="32"/>
          <w:szCs w:val="32"/>
          <w:lang w:val="en-US" w:eastAsia="zh-CN"/>
        </w:rPr>
        <w:t>《药品经营和使用质量监督管理办法》第七十二条第一项和第三项“药品零售企业有以下情形之一的，由药品监督管理部门责令限期改正；逾期不改正的，处五千元以上五万元以下罚款；造成危害后果的，处五万元以上二十万元以下罚款：（一）未按规定凭处方销售处方药的；（三）违反本办法第四十二条第五款规定的</w:t>
      </w:r>
      <w:r>
        <w:rPr>
          <w:rFonts w:hint="eastAsia" w:ascii="Times New Roman" w:hAnsi="Times New Roman" w:eastAsia="仿宋_GB2312" w:cs="Times New Roman"/>
          <w:color w:val="000000"/>
          <w:sz w:val="32"/>
          <w:szCs w:val="32"/>
          <w:highlight w:val="none"/>
          <w:lang w:val="en-US" w:eastAsia="zh-CN"/>
        </w:rPr>
        <w:t>药师或药学</w:t>
      </w:r>
      <w:r>
        <w:rPr>
          <w:rFonts w:hint="eastAsia" w:ascii="Times New Roman" w:hAnsi="Times New Roman" w:eastAsia="仿宋_GB2312" w:cs="Times New Roman"/>
          <w:color w:val="000000"/>
          <w:sz w:val="32"/>
          <w:szCs w:val="32"/>
          <w:lang w:val="en-US" w:eastAsia="zh-CN"/>
        </w:rPr>
        <w:t>技术人员管理要求的。”规定，责令当事人限期改正违法行为，决定对当事人作出处罚如下：处2000元罚款。</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对当事人未遵守</w:t>
      </w:r>
      <w:r>
        <w:rPr>
          <w:rFonts w:hint="default" w:ascii="Times New Roman" w:hAnsi="Times New Roman" w:eastAsia="仿宋_GB2312" w:cs="Times New Roman"/>
          <w:color w:val="000000"/>
          <w:sz w:val="32"/>
          <w:szCs w:val="32"/>
          <w:lang w:val="en-US" w:eastAsia="zh-CN"/>
        </w:rPr>
        <w:t>《药品经营质量管理规范》经营药品</w:t>
      </w:r>
      <w:r>
        <w:rPr>
          <w:rFonts w:hint="eastAsia" w:ascii="Times New Roman" w:hAnsi="Times New Roman" w:eastAsia="仿宋_GB2312" w:cs="Times New Roman"/>
          <w:color w:val="000000"/>
          <w:sz w:val="32"/>
          <w:szCs w:val="32"/>
          <w:lang w:val="en-US" w:eastAsia="zh-CN"/>
        </w:rPr>
        <w:t>的行为，</w:t>
      </w: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警告</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综上，决定对当事人处罚如下：</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警告；</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处2000元罚款。</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center"/>
        <w:textAlignment w:val="auto"/>
        <w:rPr>
          <w:rFonts w:hint="default" w:ascii="Times New Roman" w:hAnsi="Times New Roman" w:eastAsia="黑体" w:cs="Times New Roman"/>
          <w:color w:val="231F20"/>
          <w:spacing w:val="-16"/>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pPr>
        <w:ind w:left="-10"/>
      </w:pPr>
    </w:lvl>
  </w:abstractNum>
  <w:abstractNum w:abstractNumId="1">
    <w:nsid w:val="28FED38D"/>
    <w:multiLevelType w:val="singleLevel"/>
    <w:tmpl w:val="28FE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B984091"/>
    <w:rsid w:val="0BE61692"/>
    <w:rsid w:val="0D5C48E1"/>
    <w:rsid w:val="0D8E2469"/>
    <w:rsid w:val="0F380D9A"/>
    <w:rsid w:val="0F825E34"/>
    <w:rsid w:val="0FA22032"/>
    <w:rsid w:val="13E65039"/>
    <w:rsid w:val="14D902A4"/>
    <w:rsid w:val="177137D4"/>
    <w:rsid w:val="1AFA04EA"/>
    <w:rsid w:val="1BE3662C"/>
    <w:rsid w:val="1C384E5A"/>
    <w:rsid w:val="1DAC03A3"/>
    <w:rsid w:val="1EEC6D2B"/>
    <w:rsid w:val="2267607F"/>
    <w:rsid w:val="23A05748"/>
    <w:rsid w:val="245E47DF"/>
    <w:rsid w:val="247753E3"/>
    <w:rsid w:val="27046DAD"/>
    <w:rsid w:val="272B761E"/>
    <w:rsid w:val="2AD55FB6"/>
    <w:rsid w:val="2B866CCE"/>
    <w:rsid w:val="2BD37F90"/>
    <w:rsid w:val="30AE7A64"/>
    <w:rsid w:val="356B480A"/>
    <w:rsid w:val="37180D61"/>
    <w:rsid w:val="3AA131BE"/>
    <w:rsid w:val="3CB4251D"/>
    <w:rsid w:val="3CDD62DF"/>
    <w:rsid w:val="42831D2D"/>
    <w:rsid w:val="45E614B8"/>
    <w:rsid w:val="46A965A6"/>
    <w:rsid w:val="46F776EB"/>
    <w:rsid w:val="493D7C5E"/>
    <w:rsid w:val="4CD75102"/>
    <w:rsid w:val="53212333"/>
    <w:rsid w:val="53431472"/>
    <w:rsid w:val="54437273"/>
    <w:rsid w:val="59EE5A23"/>
    <w:rsid w:val="5A47527A"/>
    <w:rsid w:val="5BD7425A"/>
    <w:rsid w:val="5CB16F0F"/>
    <w:rsid w:val="5E6A32E8"/>
    <w:rsid w:val="5FD10DB7"/>
    <w:rsid w:val="64243190"/>
    <w:rsid w:val="64533449"/>
    <w:rsid w:val="66596502"/>
    <w:rsid w:val="66C5288C"/>
    <w:rsid w:val="69FA09CA"/>
    <w:rsid w:val="6A743B2D"/>
    <w:rsid w:val="6CB13386"/>
    <w:rsid w:val="6CFB4D33"/>
    <w:rsid w:val="6E8E380A"/>
    <w:rsid w:val="71C05B30"/>
    <w:rsid w:val="7F84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4079</Words>
  <Characters>4295</Characters>
  <Lines>0</Lines>
  <Paragraphs>0</Paragraphs>
  <TotalTime>86</TotalTime>
  <ScaleCrop>false</ScaleCrop>
  <LinksUpToDate>false</LinksUpToDate>
  <CharactersWithSpaces>4359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2025-09-12T04:36:00Z</cp:lastPrinted>
  <dcterms:modified xsi:type="dcterms:W3CDTF">2025-09-24T10:23:31Z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