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2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center"/>
        <w:textAlignment w:val="baseline"/>
        <w:outlineLvl w:val="9"/>
        <w:rPr>
          <w:rFonts w:hint="eastAsia" w:ascii="仿宋_GB2312" w:hAnsi="仿宋_GB2312" w:eastAsia="仿宋_GB2312" w:cs="仿宋_GB2312"/>
          <w:snapToGrid w:val="0"/>
          <w:color w:val="auto"/>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auto"/>
          <w:spacing w:val="-7"/>
          <w:kern w:val="0"/>
          <w:sz w:val="32"/>
          <w:szCs w:val="32"/>
          <w:lang w:val="en-US" w:eastAsia="zh-CN"/>
        </w:rPr>
        <w:t>173</w:t>
      </w:r>
      <w:r>
        <w:rPr>
          <w:rFonts w:hint="eastAsia" w:ascii="仿宋_GB2312" w:hAnsi="仿宋_GB2312" w:eastAsia="仿宋_GB2312" w:cs="仿宋_GB2312"/>
          <w:snapToGrid w:val="0"/>
          <w:color w:val="auto"/>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pacing w:val="-1"/>
          <w:sz w:val="32"/>
          <w:szCs w:val="32"/>
          <w:lang w:eastAsia="zh-CN"/>
        </w:rPr>
        <w:t>乌苏市运达盛商贸有限公司</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eastAsia="zh-CN"/>
        </w:rPr>
        <w:t>9</w:t>
      </w:r>
      <w:r>
        <w:rPr>
          <w:rFonts w:hint="eastAsia" w:ascii="仿宋_GB2312" w:hAnsi="仿宋_GB2312" w:eastAsia="仿宋_GB2312" w:cs="仿宋_GB2312"/>
          <w:snapToGrid w:val="0"/>
          <w:color w:val="000000"/>
          <w:spacing w:val="-9"/>
          <w:kern w:val="0"/>
          <w:sz w:val="32"/>
          <w:szCs w:val="32"/>
          <w:lang w:val="en-US" w:eastAsia="zh-CN"/>
        </w:rPr>
        <w:t>1</w:t>
      </w:r>
      <w:r>
        <w:rPr>
          <w:rFonts w:hint="eastAsia" w:ascii="仿宋_GB2312" w:hAnsi="仿宋_GB2312" w:eastAsia="仿宋_GB2312" w:cs="仿宋_GB2312"/>
          <w:snapToGrid w:val="0"/>
          <w:color w:val="000000"/>
          <w:spacing w:val="-9"/>
          <w:kern w:val="0"/>
          <w:sz w:val="32"/>
          <w:szCs w:val="32"/>
          <w:lang w:eastAsia="zh-CN"/>
        </w:rPr>
        <w:t>654202</w:t>
      </w:r>
      <w:r>
        <w:rPr>
          <w:rFonts w:hint="eastAsia" w:ascii="仿宋_GB2312" w:hAnsi="仿宋_GB2312" w:eastAsia="仿宋_GB2312" w:cs="仿宋_GB2312"/>
          <w:snapToGrid w:val="0"/>
          <w:color w:val="000000"/>
          <w:spacing w:val="-9"/>
          <w:kern w:val="0"/>
          <w:sz w:val="32"/>
          <w:szCs w:val="32"/>
          <w:lang w:val="en-US" w:eastAsia="zh-CN"/>
        </w:rPr>
        <w:t>MADBT79R3A</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eastAsia="zh-CN"/>
        </w:rPr>
        <w:t>新疆塔城地区乌苏市新市区街道文德路社区青岛路文林小区</w:t>
      </w:r>
      <w:bookmarkStart w:id="0" w:name="_GoBack"/>
      <w:bookmarkEnd w:id="0"/>
      <w:r>
        <w:rPr>
          <w:rFonts w:hint="eastAsia" w:ascii="仿宋_GB2312" w:hAnsi="仿宋_GB2312" w:eastAsia="仿宋_GB2312" w:cs="仿宋_GB2312"/>
          <w:snapToGrid w:val="0"/>
          <w:color w:val="000000"/>
          <w:spacing w:val="-9"/>
          <w:kern w:val="0"/>
          <w:sz w:val="32"/>
          <w:szCs w:val="32"/>
          <w:lang w:eastAsia="zh-CN"/>
        </w:rPr>
        <w:t>（公务员小区东门北侧）</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经营者：刘**</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7月8日，我局执法人员接到匿名举报，称“中锦康每天聚集多名老年人，以观看视频、讲课的方式销售桦褐孔菌黑晶精粉食品，宣称可以治疗高血压、糖尿病、高血脂、心脑血管疾病等，涉嫌虚假宣传。”并附音频一份。执法人员将该音频转换为文字内容，发现该段音频中含“中锦康”“桦褐孔菌黑晶精粉”“</w:t>
      </w:r>
      <w:r>
        <w:rPr>
          <w:rFonts w:hint="eastAsia" w:ascii="仿宋_GB2312" w:hAnsi="仿宋_GB2312" w:eastAsia="仿宋_GB2312" w:cs="仿宋_GB2312"/>
          <w:sz w:val="32"/>
          <w:szCs w:val="32"/>
          <w:lang w:eastAsia="zh-CN"/>
        </w:rPr>
        <w:t>桦褐孔菌非常好</w:t>
      </w:r>
      <w:r>
        <w:rPr>
          <w:rFonts w:hint="eastAsia" w:ascii="仿宋_GB2312" w:hAnsi="仿宋_GB2312" w:eastAsia="仿宋_GB2312" w:cs="仿宋_GB2312"/>
          <w:sz w:val="32"/>
          <w:szCs w:val="32"/>
        </w:rPr>
        <w:t>，它对高血压、高血糖、高血脂以及心脑血管疾病、囊肿、结节息肉都有</w:t>
      </w:r>
      <w:r>
        <w:rPr>
          <w:rFonts w:hint="eastAsia" w:ascii="仿宋_GB2312" w:hAnsi="仿宋_GB2312" w:eastAsia="仿宋_GB2312" w:cs="仿宋_GB2312"/>
          <w:sz w:val="32"/>
          <w:szCs w:val="32"/>
          <w:lang w:eastAsia="zh-CN"/>
        </w:rPr>
        <w:t>非常好的</w:t>
      </w:r>
      <w:r>
        <w:rPr>
          <w:rFonts w:hint="eastAsia" w:ascii="仿宋_GB2312" w:hAnsi="仿宋_GB2312" w:eastAsia="仿宋_GB2312" w:cs="仿宋_GB2312"/>
          <w:sz w:val="32"/>
          <w:szCs w:val="32"/>
        </w:rPr>
        <w:t>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z w:val="32"/>
          <w:szCs w:val="32"/>
          <w:lang w:eastAsia="zh-CN"/>
        </w:rPr>
        <w:t>我告诉大家怎么吃？</w:t>
      </w:r>
      <w:r>
        <w:rPr>
          <w:rFonts w:hint="eastAsia" w:ascii="仿宋_GB2312" w:hAnsi="仿宋_GB2312" w:eastAsia="仿宋_GB2312" w:cs="仿宋_GB2312"/>
          <w:sz w:val="32"/>
          <w:szCs w:val="32"/>
        </w:rPr>
        <w:t>如果你身上有</w:t>
      </w:r>
      <w:r>
        <w:rPr>
          <w:rFonts w:hint="eastAsia" w:ascii="仿宋_GB2312" w:hAnsi="仿宋_GB2312" w:eastAsia="仿宋_GB2312" w:cs="仿宋_GB2312"/>
          <w:sz w:val="32"/>
          <w:szCs w:val="32"/>
          <w:lang w:eastAsia="zh-CN"/>
        </w:rPr>
        <w:t>失眠、</w:t>
      </w:r>
      <w:r>
        <w:rPr>
          <w:rFonts w:hint="eastAsia" w:ascii="仿宋_GB2312" w:hAnsi="仿宋_GB2312" w:eastAsia="仿宋_GB2312" w:cs="仿宋_GB2312"/>
          <w:sz w:val="32"/>
          <w:szCs w:val="32"/>
        </w:rPr>
        <w:t>便秘、肠胃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有皮肤病、全身疼痛、免疫力低下等疾病，那么早一袋晚一袋。</w:t>
      </w:r>
      <w:r>
        <w:rPr>
          <w:rFonts w:hint="eastAsia" w:ascii="仿宋_GB2312" w:hAnsi="仿宋_GB2312" w:eastAsia="仿宋_GB2312" w:cs="仿宋_GB2312"/>
          <w:sz w:val="32"/>
          <w:szCs w:val="32"/>
          <w:lang w:eastAsia="zh-CN"/>
        </w:rPr>
        <w:t>像这种大盒</w:t>
      </w: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吃</w:t>
      </w:r>
      <w:r>
        <w:rPr>
          <w:rFonts w:hint="eastAsia" w:ascii="仿宋_GB2312" w:hAnsi="仿宋_GB2312" w:eastAsia="仿宋_GB2312" w:cs="仿宋_GB2312"/>
          <w:sz w:val="32"/>
          <w:szCs w:val="32"/>
        </w:rPr>
        <w:t>两大盒就可以吃半年。</w:t>
      </w:r>
      <w:r>
        <w:rPr>
          <w:rFonts w:hint="eastAsia" w:ascii="仿宋_GB2312" w:hAnsi="仿宋_GB2312" w:eastAsia="仿宋_GB2312" w:cs="仿宋_GB2312"/>
          <w:sz w:val="32"/>
          <w:szCs w:val="32"/>
          <w:lang w:eastAsia="zh-CN"/>
        </w:rPr>
        <w:t>半年就可以了，如果说</w:t>
      </w:r>
      <w:r>
        <w:rPr>
          <w:rFonts w:hint="eastAsia" w:ascii="仿宋_GB2312" w:hAnsi="仿宋_GB2312" w:eastAsia="仿宋_GB2312" w:cs="仿宋_GB2312"/>
          <w:sz w:val="32"/>
          <w:szCs w:val="32"/>
        </w:rPr>
        <w:t>高血压、糖尿病、高血脂、冠心病、动脉硬化、骨关节疾病、慢性肝炎、肾虚肾炎、痛风、慢支肺气肿、前列腺疾病以及妇科类疾病，你可以每天服用一袋，</w:t>
      </w:r>
      <w:r>
        <w:rPr>
          <w:rFonts w:hint="eastAsia" w:ascii="仿宋_GB2312" w:hAnsi="仿宋_GB2312" w:eastAsia="仿宋_GB2312" w:cs="仿宋_GB2312"/>
          <w:sz w:val="32"/>
          <w:szCs w:val="32"/>
          <w:lang w:eastAsia="zh-CN"/>
        </w:rPr>
        <w:t>一天吃这样一包，吃的时间稍微长一点，吃上一年，</w:t>
      </w:r>
      <w:r>
        <w:rPr>
          <w:rFonts w:hint="eastAsia" w:ascii="仿宋_GB2312" w:hAnsi="仿宋_GB2312" w:eastAsia="仿宋_GB2312" w:cs="仿宋_GB2312"/>
          <w:sz w:val="32"/>
          <w:szCs w:val="32"/>
        </w:rPr>
        <w:t>一年</w:t>
      </w:r>
      <w:r>
        <w:rPr>
          <w:rFonts w:hint="eastAsia" w:ascii="仿宋_GB2312" w:hAnsi="仿宋_GB2312" w:eastAsia="仿宋_GB2312" w:cs="仿宋_GB2312"/>
          <w:sz w:val="32"/>
          <w:szCs w:val="32"/>
          <w:lang w:eastAsia="zh-CN"/>
        </w:rPr>
        <w:t>吃</w:t>
      </w:r>
      <w:r>
        <w:rPr>
          <w:rFonts w:hint="eastAsia" w:ascii="仿宋_GB2312" w:hAnsi="仿宋_GB2312" w:eastAsia="仿宋_GB2312" w:cs="仿宋_GB2312"/>
          <w:sz w:val="32"/>
          <w:szCs w:val="32"/>
          <w:lang w:val="en-US" w:eastAsia="zh-CN"/>
        </w:rPr>
        <w:t>几</w:t>
      </w:r>
      <w:r>
        <w:rPr>
          <w:rFonts w:hint="eastAsia" w:ascii="仿宋_GB2312" w:hAnsi="仿宋_GB2312" w:eastAsia="仿宋_GB2312" w:cs="仿宋_GB2312"/>
          <w:sz w:val="32"/>
          <w:szCs w:val="32"/>
        </w:rPr>
        <w:t>大盒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一年</w:t>
      </w:r>
      <w:r>
        <w:rPr>
          <w:rFonts w:hint="eastAsia" w:ascii="仿宋_GB2312" w:hAnsi="仿宋_GB2312" w:eastAsia="仿宋_GB2312" w:cs="仿宋_GB2312"/>
          <w:sz w:val="32"/>
          <w:szCs w:val="32"/>
          <w:lang w:eastAsia="zh-CN"/>
        </w:rPr>
        <w:t>吃</w:t>
      </w:r>
      <w:r>
        <w:rPr>
          <w:rFonts w:hint="eastAsia" w:ascii="仿宋_GB2312" w:hAnsi="仿宋_GB2312" w:eastAsia="仿宋_GB2312" w:cs="仿宋_GB2312"/>
          <w:sz w:val="32"/>
          <w:szCs w:val="32"/>
        </w:rPr>
        <w:t>4大盒即可</w:t>
      </w:r>
      <w:r>
        <w:rPr>
          <w:rFonts w:hint="eastAsia" w:ascii="仿宋_GB2312" w:hAnsi="仿宋_GB2312" w:eastAsia="仿宋_GB2312" w:cs="仿宋_GB2312"/>
          <w:sz w:val="32"/>
          <w:szCs w:val="32"/>
          <w:lang w:eastAsia="zh-CN"/>
        </w:rPr>
        <w:t>。接下来想预防的话，隔三岔五吃一包就行。</w:t>
      </w:r>
      <w:r>
        <w:rPr>
          <w:rFonts w:hint="eastAsia" w:ascii="仿宋_GB2312" w:hAnsi="仿宋_GB2312" w:eastAsia="仿宋_GB2312" w:cs="仿宋_GB2312"/>
          <w:sz w:val="32"/>
          <w:szCs w:val="32"/>
        </w:rPr>
        <w:t>如果你</w:t>
      </w:r>
      <w:r>
        <w:rPr>
          <w:rFonts w:hint="eastAsia" w:ascii="仿宋_GB2312" w:hAnsi="仿宋_GB2312" w:eastAsia="仿宋_GB2312" w:cs="仿宋_GB2312"/>
          <w:sz w:val="32"/>
          <w:szCs w:val="32"/>
          <w:lang w:eastAsia="zh-CN"/>
        </w:rPr>
        <w:t>身上有好几种疾病，</w:t>
      </w:r>
      <w:r>
        <w:rPr>
          <w:rFonts w:hint="eastAsia" w:ascii="仿宋_GB2312" w:hAnsi="仿宋_GB2312" w:eastAsia="仿宋_GB2312" w:cs="仿宋_GB2312"/>
          <w:sz w:val="32"/>
          <w:szCs w:val="32"/>
        </w:rPr>
        <w:t>有严重的高血压、糖尿病、尿毒症、肝硬化、脑萎缩、脑梗后遗症、癌症、肿瘤、息肉和结节等疾病，那么前三个月加</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rPr>
        <w:t>，前三个月早</w:t>
      </w:r>
      <w:r>
        <w:rPr>
          <w:rFonts w:hint="eastAsia" w:ascii="仿宋_GB2312" w:hAnsi="仿宋_GB2312" w:eastAsia="仿宋_GB2312" w:cs="仿宋_GB2312"/>
          <w:sz w:val="32"/>
          <w:szCs w:val="32"/>
          <w:lang w:eastAsia="zh-CN"/>
        </w:rPr>
        <w:t>一袋晚一袋</w:t>
      </w:r>
      <w:r>
        <w:rPr>
          <w:rFonts w:hint="eastAsia" w:ascii="仿宋_GB2312" w:hAnsi="仿宋_GB2312" w:eastAsia="仿宋_GB2312" w:cs="仿宋_GB2312"/>
          <w:sz w:val="32"/>
          <w:szCs w:val="32"/>
        </w:rPr>
        <w:t>，三个月后</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天吃一袋。这样你吃了2年</w:t>
      </w:r>
      <w:r>
        <w:rPr>
          <w:rFonts w:hint="eastAsia" w:ascii="仿宋_GB2312" w:hAnsi="仿宋_GB2312" w:eastAsia="仿宋_GB2312" w:cs="仿宋_GB2312"/>
          <w:sz w:val="32"/>
          <w:szCs w:val="32"/>
          <w:lang w:eastAsia="zh-CN"/>
        </w:rPr>
        <w:t>五脏六腑</w:t>
      </w:r>
      <w:r>
        <w:rPr>
          <w:rFonts w:hint="eastAsia" w:ascii="仿宋_GB2312" w:hAnsi="仿宋_GB2312" w:eastAsia="仿宋_GB2312" w:cs="仿宋_GB2312"/>
          <w:sz w:val="32"/>
          <w:szCs w:val="32"/>
        </w:rPr>
        <w:t>成果非常好，</w:t>
      </w:r>
      <w:r>
        <w:rPr>
          <w:rFonts w:hint="eastAsia" w:ascii="仿宋_GB2312" w:hAnsi="仿宋_GB2312" w:eastAsia="仿宋_GB2312" w:cs="仿宋_GB2312"/>
          <w:sz w:val="32"/>
          <w:szCs w:val="32"/>
          <w:lang w:eastAsia="zh-CN"/>
        </w:rPr>
        <w:t>这样的话</w:t>
      </w:r>
      <w:r>
        <w:rPr>
          <w:rFonts w:hint="eastAsia" w:ascii="仿宋_GB2312" w:hAnsi="仿宋_GB2312" w:eastAsia="仿宋_GB2312" w:cs="仿宋_GB2312"/>
          <w:sz w:val="32"/>
          <w:szCs w:val="32"/>
        </w:rPr>
        <w:t>病情严重的患者加一盒，9大盒即可。</w:t>
      </w:r>
      <w:r>
        <w:rPr>
          <w:rFonts w:hint="eastAsia" w:ascii="仿宋_GB2312" w:hAnsi="仿宋_GB2312" w:eastAsia="仿宋_GB2312" w:cs="仿宋_GB2312"/>
          <w:sz w:val="32"/>
          <w:szCs w:val="32"/>
          <w:lang w:eastAsia="zh-CN"/>
        </w:rPr>
        <w:t>”等内容。</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2025年7月9日，我局执法人员根据举报线索来到位于</w:t>
      </w:r>
      <w:r>
        <w:rPr>
          <w:rFonts w:hint="eastAsia" w:ascii="仿宋_GB2312" w:hAnsi="仿宋_GB2312" w:eastAsia="仿宋_GB2312" w:cs="仿宋_GB2312"/>
          <w:snapToGrid w:val="0"/>
          <w:color w:val="000000"/>
          <w:spacing w:val="-9"/>
          <w:kern w:val="0"/>
          <w:sz w:val="32"/>
          <w:szCs w:val="32"/>
          <w:lang w:eastAsia="zh-CN"/>
        </w:rPr>
        <w:t>新疆塔城地区乌苏市新市区街道文德路社区青岛路文林小区A5幢2-07号（公务员小区东门北侧）</w:t>
      </w:r>
      <w:r>
        <w:rPr>
          <w:rFonts w:hint="eastAsia" w:ascii="仿宋_GB2312" w:hAnsi="仿宋_GB2312" w:eastAsia="仿宋_GB2312" w:cs="仿宋_GB2312"/>
          <w:snapToGrid w:val="0"/>
          <w:color w:val="000000"/>
          <w:spacing w:val="-9"/>
          <w:kern w:val="0"/>
          <w:sz w:val="32"/>
          <w:szCs w:val="32"/>
          <w:lang w:val="en-US" w:eastAsia="zh-CN"/>
        </w:rPr>
        <w:t>的</w:t>
      </w:r>
      <w:r>
        <w:rPr>
          <w:rFonts w:hint="eastAsia" w:ascii="仿宋" w:hAnsi="仿宋" w:eastAsia="仿宋" w:cs="仿宋"/>
          <w:spacing w:val="-1"/>
          <w:sz w:val="32"/>
          <w:szCs w:val="32"/>
          <w:lang w:eastAsia="zh-CN"/>
        </w:rPr>
        <w:t>乌苏市运达盛商贸有限公司</w:t>
      </w:r>
      <w:r>
        <w:rPr>
          <w:rFonts w:hint="eastAsia" w:ascii="仿宋_GB2312" w:hAnsi="仿宋_GB2312" w:eastAsia="仿宋_GB2312" w:cs="仿宋_GB2312"/>
          <w:snapToGrid w:val="0"/>
          <w:color w:val="000000"/>
          <w:kern w:val="0"/>
          <w:sz w:val="32"/>
          <w:szCs w:val="32"/>
          <w:lang w:val="en-US" w:eastAsia="zh-CN"/>
        </w:rPr>
        <w:t>开展监督检查，发现该店内进门右手最西侧有一套间，房间内有数名老年人正在使用店内仪器理疗，墙上电视机正在播放一段视频，内容为一名老年人正在讲述其食用完桦褐孔菌黑晶精粉的感受。执法人员在该电视机连接的笔记本电脑上发现一段46分钟左右的视频，经执法人员现场询问在座的老年人，该段视频为日常播放视频，视频中播放有该店正在销售的桦褐孔菌黑晶精粉。当执法人员正在针对视频内容进一步询问时，电源被该店负责人张**使用遥控器一键切断，重新启动后该视频已无法在该笔记本电脑中查找到。张**对该段视频矢口否认，仅提供三段视频：第一段为由其拍摄的被称为马叔的消费者讲述其食用完桦褐孔菌黑晶精粉的感受；第二段为优酷视频中讲述桦褐孔菌药用价值的视频；第三段为优酷视频中网络用户发布的一段多名消费者吃完桦褐孔菌相关产品的感受。执法人员对优酷视频中的两段视频进行了翻录取证。</w:t>
      </w:r>
    </w:p>
    <w:p>
      <w:pPr>
        <w:keepNext w:val="0"/>
        <w:keepLines w:val="0"/>
        <w:pageBreakBefore w:val="0"/>
        <w:widowControl/>
        <w:tabs>
          <w:tab w:val="left" w:pos="4380"/>
        </w:tabs>
        <w:kinsoku/>
        <w:wordWrap w:val="0"/>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执法人员另发现该店内摆放有仲善堂桦褐孔菌黑晶精粉，包装上标有“‘一带一路’国礼品牌”字样，净含量：180克（2克</w:t>
      </w:r>
      <w:r>
        <w:rPr>
          <w:rFonts w:hint="default" w:ascii="Arial" w:hAnsi="Arial" w:eastAsia="仿宋_GB2312" w:cs="Arial"/>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90），生产企业：通化承诚药业有限公司，食品生产许可证编号：SC11622050222126，经销商：甘肃仲善堂医疗科技有限公司。</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经报局领导批准，执法人员现场对当事人</w:t>
      </w:r>
      <w:r>
        <w:rPr>
          <w:rFonts w:hint="eastAsia" w:ascii="仿宋_GB2312" w:hAnsi="仿宋_GB2312" w:eastAsia="仿宋_GB2312" w:cs="仿宋_GB2312"/>
          <w:snapToGrid w:val="0"/>
          <w:color w:val="000000"/>
          <w:spacing w:val="1"/>
          <w:kern w:val="0"/>
          <w:sz w:val="32"/>
          <w:szCs w:val="32"/>
          <w:lang w:val="en-US" w:eastAsia="zh-CN"/>
        </w:rPr>
        <w:t>虚假宣传</w:t>
      </w:r>
      <w:r>
        <w:rPr>
          <w:rFonts w:hint="eastAsia" w:ascii="仿宋_GB2312" w:hAnsi="仿宋_GB2312" w:eastAsia="仿宋_GB2312" w:cs="仿宋_GB2312"/>
          <w:sz w:val="32"/>
          <w:szCs w:val="32"/>
          <w:u w:val="none"/>
          <w:lang w:val="en-US" w:eastAsia="zh-CN"/>
        </w:rPr>
        <w:t>销售的商品及相关物品实施了扣押的行政强制措施，向当事人送达了《实施行政强制措施决定书》（乌市监强制〔2025〕86号），当事人现场签收无异议。</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7月9日、7月16日，我局执法人员询问了3名在当事人店内理疗的老年人，3名老年人称在每天理疗时播放的视频中有一位陈总和一位叫“丑娃”的医生，视频中会给老人分享桦褐孔菌黑晶精粉原料产自西伯利亚，可以治疗很多疾病，高血压、糖尿病吃了桦褐孔菌就可以停药，人全身有50多种病，都可以治疗。</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2025年7月29日，我局向通化市市场监督管理局通化医药高新技术产业开发区分局发送《协助调查函》</w:t>
      </w:r>
      <w:r>
        <w:rPr>
          <w:rFonts w:hint="eastAsia" w:ascii="仿宋_GB2312" w:hAnsi="仿宋_GB2312" w:eastAsia="仿宋_GB2312" w:cs="仿宋_GB2312"/>
          <w:b w:val="0"/>
          <w:bCs w:val="0"/>
          <w:color w:val="auto"/>
          <w:kern w:val="1"/>
          <w:sz w:val="32"/>
          <w:szCs w:val="32"/>
          <w:lang w:val="en-US" w:eastAsia="zh-CN"/>
        </w:rPr>
        <w:t>（乌市监协查〔2025〕13号），对涉案物品进货数量及金额进行核实，于2025年8月6日收到回函，当事人进货数量与出库数量一致。</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2025年8月7日，因涉案物品扣押期限届满，经局领导批准，执法人员对涉案物品解除扣押强制措施，向当事人送达了《解除行政强制措施决定书》（乌市监解强〔2025〕86号），当事人现场签收无异议。</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kern w:val="0"/>
          <w:sz w:val="32"/>
          <w:szCs w:val="32"/>
          <w:lang w:val="en-US" w:eastAsia="zh-CN"/>
        </w:rPr>
        <w:t>当事人的行为违反了《中华人民共和国反不正当竞争法》</w:t>
      </w:r>
      <w:r>
        <w:rPr>
          <w:rFonts w:hint="eastAsia" w:ascii="仿宋_GB2312" w:hAnsi="仿宋_GB2312" w:eastAsia="仿宋_GB2312" w:cs="仿宋_GB2312"/>
          <w:snapToGrid w:val="0"/>
          <w:color w:val="000000"/>
          <w:spacing w:val="1"/>
          <w:kern w:val="0"/>
          <w:sz w:val="32"/>
          <w:szCs w:val="32"/>
          <w:lang w:val="en-US" w:eastAsia="zh-CN"/>
        </w:rPr>
        <w:t>第八条第一款的</w:t>
      </w:r>
      <w:r>
        <w:rPr>
          <w:rFonts w:hint="eastAsia" w:ascii="仿宋_GB2312" w:hAnsi="仿宋_GB2312" w:eastAsia="仿宋_GB2312" w:cs="仿宋_GB2312"/>
          <w:snapToGrid w:val="0"/>
          <w:color w:val="000000"/>
          <w:kern w:val="0"/>
          <w:sz w:val="32"/>
          <w:szCs w:val="32"/>
          <w:lang w:val="en-US" w:eastAsia="zh-CN"/>
        </w:rPr>
        <w:t>规定。经局领导批准，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2025年7月14日立案，并指派孙洁、景道燕对此案进行调查了解，本案于2025年8月31调查终结。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eastAsia="zh-CN"/>
        </w:rPr>
      </w:pPr>
      <w:r>
        <w:rPr>
          <w:rFonts w:hint="eastAsia" w:ascii="仿宋_GB2312" w:hAnsi="仿宋_GB2312" w:eastAsia="仿宋_GB2312" w:cs="仿宋_GB2312"/>
          <w:snapToGrid w:val="0"/>
          <w:color w:val="000000"/>
          <w:spacing w:val="1"/>
          <w:kern w:val="0"/>
          <w:sz w:val="32"/>
          <w:szCs w:val="32"/>
          <w:lang w:eastAsia="zh-CN"/>
        </w:rPr>
        <w:t>经查，当事人通过组织老年人免费理疗，理疗过程中播放向老年人宣传桦褐孔菌的药用价值的视频，以及播放消费者</w:t>
      </w:r>
      <w:r>
        <w:rPr>
          <w:rFonts w:hint="eastAsia" w:ascii="仿宋_GB2312" w:hAnsi="仿宋_GB2312" w:eastAsia="仿宋_GB2312" w:cs="仿宋_GB2312"/>
          <w:snapToGrid w:val="0"/>
          <w:color w:val="000000"/>
          <w:spacing w:val="1"/>
          <w:kern w:val="0"/>
          <w:sz w:val="32"/>
          <w:szCs w:val="32"/>
          <w:lang w:val="en-US" w:eastAsia="zh-CN"/>
        </w:rPr>
        <w:t>讲解服用该食品后的受益视频，视频中均含疾病治疗内容，如“按照疗程按照量，西药就可以停掉；可以治疗高血压、糖尿病、预防癌症”等内容。当事人销售的</w:t>
      </w:r>
      <w:r>
        <w:rPr>
          <w:rFonts w:hint="eastAsia" w:ascii="仿宋_GB2312" w:hAnsi="仿宋_GB2312" w:eastAsia="仿宋_GB2312" w:cs="仿宋_GB2312"/>
          <w:snapToGrid w:val="0"/>
          <w:color w:val="000000"/>
          <w:kern w:val="0"/>
          <w:sz w:val="32"/>
          <w:szCs w:val="32"/>
          <w:lang w:val="en-US" w:eastAsia="zh-CN"/>
        </w:rPr>
        <w:t>仲善堂桦褐孔菌黑晶精粉仅为普通食品。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firstLine="644" w:firstLineChars="200"/>
        <w:jc w:val="both"/>
        <w:textAlignment w:val="auto"/>
        <w:rPr>
          <w:rFonts w:hint="eastAsia" w:ascii="仿宋" w:hAnsi="仿宋" w:eastAsia="仿宋" w:cs="仿宋"/>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另查明，当事人于2025年7月1日从食品生产商通化承诚药业有限公司购入30盒</w:t>
      </w:r>
      <w:r>
        <w:rPr>
          <w:rFonts w:hint="eastAsia" w:ascii="仿宋_GB2312" w:hAnsi="仿宋_GB2312" w:eastAsia="仿宋_GB2312" w:cs="仿宋_GB2312"/>
          <w:snapToGrid w:val="0"/>
          <w:color w:val="000000"/>
          <w:kern w:val="0"/>
          <w:sz w:val="32"/>
          <w:szCs w:val="32"/>
          <w:lang w:val="en-US" w:eastAsia="zh-CN"/>
        </w:rPr>
        <w:t>仲善堂桦褐孔菌黑晶精粉，规格：2g/袋*30袋/盒，因</w:t>
      </w:r>
      <w:r>
        <w:rPr>
          <w:rFonts w:hint="eastAsia" w:ascii="仿宋_GB2312" w:hAnsi="仿宋_GB2312" w:eastAsia="仿宋_GB2312" w:cs="仿宋_GB2312"/>
          <w:snapToGrid w:val="0"/>
          <w:color w:val="000000"/>
          <w:spacing w:val="1"/>
          <w:kern w:val="0"/>
          <w:sz w:val="32"/>
          <w:szCs w:val="32"/>
          <w:lang w:val="en-US" w:eastAsia="zh-CN"/>
        </w:rPr>
        <w:t>通化承诚药业有限公司受甘肃仲善堂医疗科技有限公司委托生产</w:t>
      </w:r>
      <w:r>
        <w:rPr>
          <w:rFonts w:hint="eastAsia" w:ascii="仿宋_GB2312" w:hAnsi="仿宋_GB2312" w:eastAsia="仿宋_GB2312" w:cs="仿宋_GB2312"/>
          <w:snapToGrid w:val="0"/>
          <w:color w:val="000000"/>
          <w:kern w:val="0"/>
          <w:sz w:val="32"/>
          <w:szCs w:val="32"/>
          <w:lang w:val="en-US" w:eastAsia="zh-CN"/>
        </w:rPr>
        <w:t>桦褐孔菌黑晶精粉，委托加工单价94.5元/盒，因当事人未承担其他费用，故认定当事人进货价为94.5元/盒，销售价333元/盒，</w:t>
      </w:r>
      <w:r>
        <w:rPr>
          <w:rFonts w:hint="eastAsia" w:ascii="仿宋_GB2312" w:hAnsi="仿宋_GB2312" w:eastAsia="仿宋_GB2312" w:cs="仿宋_GB2312"/>
          <w:snapToGrid w:val="0"/>
          <w:color w:val="000000"/>
          <w:spacing w:val="1"/>
          <w:kern w:val="0"/>
          <w:sz w:val="32"/>
          <w:szCs w:val="32"/>
          <w:lang w:val="en-US" w:eastAsia="zh-CN"/>
        </w:rPr>
        <w:t>但因当事人无法提供销售记录</w:t>
      </w:r>
      <w:r>
        <w:rPr>
          <w:rFonts w:hint="eastAsia" w:ascii="仿宋_GB2312" w:hAnsi="仿宋_GB2312" w:eastAsia="仿宋_GB2312" w:cs="仿宋_GB2312"/>
          <w:snapToGrid w:val="0"/>
          <w:color w:val="000000"/>
          <w:kern w:val="0"/>
          <w:sz w:val="32"/>
          <w:szCs w:val="32"/>
          <w:lang w:val="en-US" w:eastAsia="zh-CN"/>
        </w:rPr>
        <w:t>，故</w:t>
      </w:r>
      <w:r>
        <w:rPr>
          <w:rFonts w:hint="eastAsia" w:ascii="仿宋_GB2312" w:hAnsi="仿宋_GB2312" w:eastAsia="仿宋_GB2312" w:cs="仿宋_GB2312"/>
          <w:snapToGrid w:val="0"/>
          <w:color w:val="000000"/>
          <w:spacing w:val="1"/>
          <w:kern w:val="0"/>
          <w:sz w:val="32"/>
          <w:szCs w:val="32"/>
          <w:lang w:val="en-US" w:eastAsia="zh-CN"/>
        </w:rPr>
        <w:t>违法所得无法认定。当事人已构成对其销售的商品的功能作虚假或引人误解的商业宣传，欺骗、误导消费者的违法行为</w:t>
      </w:r>
      <w:r>
        <w:rPr>
          <w:rFonts w:hint="eastAsia" w:ascii="仿宋_GB2312" w:hAnsi="仿宋_GB2312" w:eastAsia="仿宋_GB2312" w:cs="仿宋_GB2312"/>
          <w:snapToGrid w:val="0"/>
          <w:color w:val="000000"/>
          <w:spacing w:val="4"/>
          <w:kern w:val="0"/>
          <w:sz w:val="32"/>
          <w:szCs w:val="32"/>
          <w:lang w:eastAsia="zh-CN"/>
        </w:rPr>
        <w:t>。</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b w:val="0"/>
          <w:bCs w:val="0"/>
          <w:snapToGrid w:val="0"/>
          <w:color w:val="000000"/>
          <w:kern w:val="0"/>
          <w:sz w:val="32"/>
          <w:szCs w:val="32"/>
        </w:rPr>
      </w:pPr>
      <w:r>
        <w:rPr>
          <w:rFonts w:hint="eastAsia" w:ascii="仿宋_GB2312" w:hAnsi="仿宋_GB2312" w:eastAsia="仿宋_GB2312" w:cs="仿宋_GB2312"/>
          <w:b w:val="0"/>
          <w:bCs w:val="0"/>
          <w:snapToGrid w:val="0"/>
          <w:color w:val="000000"/>
          <w:spacing w:val="-9"/>
          <w:kern w:val="0"/>
          <w:sz w:val="32"/>
          <w:szCs w:val="32"/>
          <w:lang w:val="en-US" w:eastAsia="zh-CN"/>
        </w:rPr>
        <w:t>上述</w:t>
      </w:r>
      <w:r>
        <w:rPr>
          <w:rFonts w:hint="eastAsia" w:ascii="仿宋_GB2312" w:hAnsi="仿宋_GB2312" w:eastAsia="仿宋_GB2312" w:cs="仿宋_GB2312"/>
          <w:b w:val="0"/>
          <w:bCs w:val="0"/>
          <w:snapToGrid w:val="0"/>
          <w:color w:val="000000"/>
          <w:spacing w:val="-2"/>
          <w:kern w:val="0"/>
          <w:sz w:val="32"/>
          <w:szCs w:val="32"/>
        </w:rPr>
        <w:t>事实，主要有以下证据证明：</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20" w:lineRule="exact"/>
        <w:ind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1.《营业执照》《第二类医疗器械经营备案凭证》及</w:t>
      </w:r>
      <w:r>
        <w:rPr>
          <w:rFonts w:hint="eastAsia" w:ascii="仿宋_GB2312" w:hAnsi="仿宋_GB2312" w:eastAsia="仿宋_GB2312" w:cs="仿宋_GB2312"/>
          <w:snapToGrid w:val="0"/>
          <w:color w:val="000000"/>
          <w:spacing w:val="-9"/>
          <w:kern w:val="0"/>
          <w:sz w:val="32"/>
          <w:szCs w:val="32"/>
          <w:lang w:eastAsia="zh-CN"/>
        </w:rPr>
        <w:t>法定代表人刘**</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w:t>
      </w:r>
      <w:r>
        <w:rPr>
          <w:rFonts w:hint="eastAsia" w:ascii="仿宋_GB2312" w:hAnsi="仿宋_GB2312" w:eastAsia="仿宋_GB2312" w:cs="仿宋_GB2312"/>
          <w:snapToGrid w:val="0"/>
          <w:color w:val="000000"/>
          <w:spacing w:val="-9"/>
          <w:kern w:val="0"/>
          <w:sz w:val="32"/>
          <w:szCs w:val="32"/>
          <w:lang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20" w:lineRule="exact"/>
        <w:ind w:leftChars="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2.授权委托书2份、聊天记录打印件1份，受委托人身份证复印件2份，证明委托人、受委托人身份信息及委托事项、期限、权限；</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20" w:lineRule="exact"/>
        <w:ind w:left="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份，证明执法人员</w:t>
      </w:r>
      <w:r>
        <w:rPr>
          <w:rFonts w:hint="eastAsia" w:ascii="仿宋_GB2312" w:hAnsi="仿宋_GB2312" w:eastAsia="仿宋_GB2312" w:cs="仿宋_GB2312"/>
          <w:snapToGrid w:val="0"/>
          <w:color w:val="000000"/>
          <w:spacing w:val="1"/>
          <w:kern w:val="0"/>
          <w:sz w:val="32"/>
          <w:szCs w:val="32"/>
          <w:u w:val="none" w:color="auto"/>
          <w:lang w:val="en-US" w:eastAsia="zh-CN"/>
        </w:rPr>
        <w:t>现场检查发现当事人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w:t>
      </w:r>
      <w:r>
        <w:rPr>
          <w:rFonts w:hint="eastAsia" w:ascii="仿宋_GB2312" w:hAnsi="仿宋_GB2312" w:eastAsia="仿宋_GB2312" w:cs="仿宋_GB2312"/>
          <w:snapToGrid w:val="0"/>
          <w:color w:val="000000"/>
          <w:spacing w:val="4"/>
          <w:kern w:val="0"/>
          <w:sz w:val="32"/>
          <w:szCs w:val="32"/>
          <w:lang w:eastAsia="zh-CN"/>
        </w:rPr>
        <w:t>的事实和检查经过</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2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4.</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6</w:t>
      </w:r>
      <w:r>
        <w:rPr>
          <w:rFonts w:hint="eastAsia" w:ascii="仿宋_GB2312" w:hAnsi="仿宋_GB2312" w:eastAsia="仿宋_GB2312" w:cs="仿宋_GB2312"/>
          <w:b w:val="0"/>
          <w:bCs w:val="0"/>
          <w:kern w:val="1"/>
          <w:sz w:val="32"/>
          <w:szCs w:val="32"/>
          <w:lang w:eastAsia="zh-CN"/>
        </w:rPr>
        <w:t>份，证明当事人</w:t>
      </w:r>
      <w:r>
        <w:rPr>
          <w:rFonts w:hint="eastAsia" w:ascii="仿宋_GB2312" w:hAnsi="仿宋_GB2312" w:eastAsia="仿宋_GB2312" w:cs="仿宋_GB2312"/>
          <w:snapToGrid w:val="0"/>
          <w:color w:val="000000"/>
          <w:spacing w:val="1"/>
          <w:kern w:val="0"/>
          <w:sz w:val="32"/>
          <w:szCs w:val="32"/>
          <w:lang w:val="en-US" w:eastAsia="zh-CN"/>
        </w:rPr>
        <w:t>对其销售的商品的功能做虚假或引人误解的商业宣传，欺骗、误导消费者的</w:t>
      </w:r>
      <w:r>
        <w:rPr>
          <w:rFonts w:hint="eastAsia" w:ascii="仿宋_GB2312" w:hAnsi="仿宋_GB2312" w:eastAsia="仿宋_GB2312" w:cs="仿宋_GB2312"/>
          <w:snapToGrid w:val="0"/>
          <w:color w:val="000000"/>
          <w:spacing w:val="1"/>
          <w:kern w:val="0"/>
          <w:sz w:val="32"/>
          <w:szCs w:val="32"/>
          <w:u w:val="none" w:color="auto"/>
          <w:lang w:val="en-US" w:eastAsia="zh-CN"/>
        </w:rPr>
        <w:t>事实经过和所采集视频证据的真实性</w:t>
      </w:r>
      <w:r>
        <w:rPr>
          <w:rFonts w:hint="eastAsia" w:ascii="仿宋_GB2312" w:hAnsi="仿宋_GB2312" w:eastAsia="仿宋_GB2312" w:cs="仿宋_GB2312"/>
          <w:snapToGrid w:val="0"/>
          <w:color w:val="000000"/>
          <w:spacing w:val="-9"/>
          <w:kern w:val="0"/>
          <w:sz w:val="32"/>
          <w:szCs w:val="32"/>
          <w:lang w:val="en-US" w:eastAsia="zh-CN"/>
        </w:rPr>
        <w:t>；</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5.当事人提供的进货票据复印件1张，证明当事人购进涉案商品的时间、金额和数量；</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6.当事人提供的检验报告1份，桦褐孔菌黑晶精粉企业标准1份，成品报告单1份，证明当事人销售的商品符合企业标准的事实；</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7.当事人提供的供货商《营业执照》复印件2份，《食品生产许可证》复印件1份，证明当事人购进涉案商品的供货商资质；</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b w:val="0"/>
          <w:bCs w:val="0"/>
          <w:color w:val="auto"/>
          <w:kern w:val="1"/>
          <w:sz w:val="32"/>
          <w:szCs w:val="32"/>
          <w:lang w:val="en-US" w:eastAsia="zh-CN"/>
        </w:rPr>
        <w:t>8.举报登记表、音频资料、音频资料对应文字内容各1份</w:t>
      </w:r>
      <w:r>
        <w:rPr>
          <w:rFonts w:hint="eastAsia" w:ascii="仿宋_GB2312" w:hAnsi="仿宋_GB2312" w:eastAsia="仿宋_GB2312" w:cs="仿宋_GB2312"/>
          <w:snapToGrid w:val="0"/>
          <w:color w:val="000000"/>
          <w:kern w:val="0"/>
          <w:sz w:val="32"/>
          <w:szCs w:val="32"/>
          <w:lang w:val="en-US" w:eastAsia="zh-CN"/>
        </w:rPr>
        <w:t>，证明当事人</w:t>
      </w:r>
      <w:r>
        <w:rPr>
          <w:rFonts w:hint="eastAsia" w:ascii="仿宋_GB2312" w:hAnsi="仿宋_GB2312" w:eastAsia="仿宋_GB2312" w:cs="仿宋_GB2312"/>
          <w:b w:val="0"/>
          <w:bCs w:val="0"/>
          <w:color w:val="auto"/>
          <w:kern w:val="1"/>
          <w:sz w:val="32"/>
          <w:szCs w:val="32"/>
          <w:lang w:eastAsia="zh-CN"/>
        </w:rPr>
        <w:t>作</w:t>
      </w:r>
      <w:r>
        <w:rPr>
          <w:rFonts w:hint="eastAsia" w:ascii="仿宋_GB2312" w:hAnsi="仿宋_GB2312" w:eastAsia="仿宋_GB2312" w:cs="仿宋_GB2312"/>
          <w:snapToGrid w:val="0"/>
          <w:color w:val="000000"/>
          <w:spacing w:val="4"/>
          <w:kern w:val="0"/>
          <w:sz w:val="32"/>
          <w:szCs w:val="32"/>
          <w:lang w:eastAsia="zh-CN"/>
        </w:rPr>
        <w:t>引人误解的虚假宣传</w:t>
      </w:r>
      <w:r>
        <w:rPr>
          <w:rFonts w:hint="eastAsia" w:ascii="仿宋_GB2312" w:hAnsi="仿宋_GB2312" w:eastAsia="仿宋_GB2312" w:cs="仿宋_GB2312"/>
          <w:snapToGrid w:val="0"/>
          <w:color w:val="000000"/>
          <w:spacing w:val="1"/>
          <w:kern w:val="0"/>
          <w:sz w:val="32"/>
          <w:szCs w:val="32"/>
          <w:u w:val="none" w:color="auto"/>
          <w:lang w:val="en-US" w:eastAsia="zh-CN"/>
        </w:rPr>
        <w:t>事实及案件来源；</w:t>
      </w:r>
    </w:p>
    <w:p>
      <w:pPr>
        <w:keepNext w:val="0"/>
        <w:keepLines w:val="0"/>
        <w:pageBreakBefore w:val="0"/>
        <w:widowControl w:val="0"/>
        <w:kinsoku/>
        <w:wordWrap/>
        <w:overflowPunct/>
        <w:topLinePunct w:val="0"/>
        <w:bidi w:val="0"/>
        <w:adjustRightInd/>
        <w:snapToGrid/>
        <w:spacing w:line="520" w:lineRule="exact"/>
        <w:ind w:left="0" w:right="0" w:firstLine="644" w:firstLineChars="200"/>
        <w:jc w:val="both"/>
        <w:textAlignment w:val="auto"/>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9.产品图片2张，证明当事人销售的商品为普通食品的事实；</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default"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10.《协助调查函》（乌市监协查〔2025〕13号）、《关于乌苏市市场监督管理局协助调查函的回复》、委托加工合同、出库单、情况说明各1份，证明当事人购进涉案商品的数量、金额；</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color w:val="auto"/>
          <w:kern w:val="1"/>
          <w:sz w:val="32"/>
          <w:szCs w:val="32"/>
          <w:lang w:val="en-US" w:eastAsia="zh-CN"/>
        </w:rPr>
        <w:t>11.现场检查拍摄照片1张、音像视频资料2份，证明执法人员对当事人经营场所</w:t>
      </w:r>
      <w:r>
        <w:rPr>
          <w:rFonts w:hint="eastAsia" w:ascii="仿宋_GB2312" w:hAnsi="仿宋_GB2312" w:eastAsia="仿宋_GB2312" w:cs="仿宋_GB2312"/>
          <w:b w:val="0"/>
          <w:bCs w:val="0"/>
          <w:color w:val="auto"/>
          <w:kern w:val="1"/>
          <w:sz w:val="32"/>
          <w:szCs w:val="32"/>
          <w:lang w:eastAsia="zh-CN"/>
        </w:rPr>
        <w:t>进行现场检查的情况以及当事人作</w:t>
      </w:r>
      <w:r>
        <w:rPr>
          <w:rFonts w:hint="eastAsia" w:ascii="仿宋_GB2312" w:hAnsi="仿宋_GB2312" w:eastAsia="仿宋_GB2312" w:cs="仿宋_GB2312"/>
          <w:snapToGrid w:val="0"/>
          <w:color w:val="000000"/>
          <w:spacing w:val="4"/>
          <w:kern w:val="0"/>
          <w:sz w:val="32"/>
          <w:szCs w:val="32"/>
          <w:lang w:eastAsia="zh-CN"/>
        </w:rPr>
        <w:t>引人误解的虚假宣传</w:t>
      </w:r>
      <w:r>
        <w:rPr>
          <w:rFonts w:hint="eastAsia" w:ascii="仿宋_GB2312" w:hAnsi="仿宋_GB2312" w:eastAsia="仿宋_GB2312" w:cs="仿宋_GB2312"/>
          <w:snapToGrid w:val="0"/>
          <w:color w:val="000000"/>
          <w:spacing w:val="1"/>
          <w:kern w:val="0"/>
          <w:sz w:val="32"/>
          <w:szCs w:val="32"/>
          <w:u w:val="none" w:color="auto"/>
          <w:lang w:val="en-US" w:eastAsia="zh-CN"/>
        </w:rPr>
        <w:t>事实</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kinsoku/>
        <w:wordWrap/>
        <w:overflowPunct/>
        <w:topLinePunct w:val="0"/>
        <w:bidi w:val="0"/>
        <w:adjustRightInd/>
        <w:snapToGrid/>
        <w:spacing w:line="520" w:lineRule="exact"/>
        <w:ind w:left="0" w:right="0" w:firstLine="640" w:firstLineChars="200"/>
        <w:jc w:val="both"/>
        <w:textAlignment w:val="auto"/>
        <w:rPr>
          <w:rFonts w:hint="default" w:cs="仿宋"/>
          <w:color w:val="auto"/>
          <w:sz w:val="32"/>
          <w:szCs w:val="32"/>
          <w:u w:val="single"/>
          <w:lang w:val="en-US" w:eastAsia="zh-CN"/>
        </w:rPr>
      </w:pPr>
      <w:r>
        <w:rPr>
          <w:rFonts w:hint="eastAsia" w:ascii="仿宋_GB2312" w:hAnsi="仿宋_GB2312" w:eastAsia="仿宋_GB2312" w:cs="仿宋_GB2312"/>
          <w:sz w:val="32"/>
          <w:szCs w:val="32"/>
          <w:u w:val="none"/>
          <w:lang w:val="en-US" w:eastAsia="zh-CN"/>
        </w:rPr>
        <w:t>以上证据由当事人确认签字并盖章。</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 w:hAnsi="仿宋" w:eastAsia="仿宋" w:cs="仿宋"/>
          <w:snapToGrid w:val="0"/>
          <w:color w:val="000000"/>
          <w:spacing w:val="1"/>
          <w:kern w:val="0"/>
          <w:sz w:val="32"/>
          <w:szCs w:val="32"/>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于2025年9月11日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144</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于2025年9月15日向本局提交了</w:t>
      </w:r>
      <w:r>
        <w:rPr>
          <w:rFonts w:hint="eastAsia" w:ascii="仿宋_GB2312" w:hAnsi="仿宋_GB2312" w:eastAsia="仿宋_GB2312" w:cs="仿宋_GB2312"/>
          <w:snapToGrid w:val="0"/>
          <w:color w:val="000000"/>
          <w:kern w:val="0"/>
          <w:sz w:val="32"/>
          <w:szCs w:val="32"/>
        </w:rPr>
        <w:t>陈述申辩</w:t>
      </w:r>
      <w:r>
        <w:rPr>
          <w:rFonts w:hint="eastAsia" w:ascii="仿宋_GB2312" w:hAnsi="仿宋_GB2312" w:eastAsia="仿宋_GB2312" w:cs="仿宋_GB2312"/>
          <w:snapToGrid w:val="0"/>
          <w:color w:val="000000"/>
          <w:kern w:val="0"/>
          <w:sz w:val="32"/>
          <w:szCs w:val="32"/>
          <w:lang w:eastAsia="zh-CN"/>
        </w:rPr>
        <w:t>书，理由如下：（</w:t>
      </w:r>
      <w:r>
        <w:rPr>
          <w:rFonts w:hint="eastAsia" w:ascii="仿宋_GB2312" w:hAnsi="仿宋_GB2312" w:eastAsia="仿宋_GB2312" w:cs="仿宋_GB2312"/>
          <w:snapToGrid w:val="0"/>
          <w:color w:val="000000"/>
          <w:kern w:val="0"/>
          <w:sz w:val="32"/>
          <w:szCs w:val="32"/>
          <w:lang w:val="en-US" w:eastAsia="zh-CN"/>
        </w:rPr>
        <w:t>1）匿名举报音频与其无关，举报无诉求不合理；（2）2025年7月9日在该公司笔记本电脑上发现的两段优酷视频不是播放给顾客看的，第三段马叔的视频是客户分享，主观无恶意引导；（3）执法人员询问的3名顾客所述事实均不是该店发生的事实和经过，店内也未播放过3名顾客所称的视频；（4）询问笔录与事实不符，工作人员迫于压力才在笔录中签字</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经复核，当事人陈述、申辩理由</w:t>
      </w:r>
      <w:r>
        <w:rPr>
          <w:rFonts w:hint="eastAsia" w:ascii="仿宋_GB2312" w:hAnsi="仿宋_GB2312" w:eastAsia="仿宋_GB2312" w:cs="仿宋_GB2312"/>
          <w:snapToGrid w:val="0"/>
          <w:color w:val="000000"/>
          <w:kern w:val="0"/>
          <w:sz w:val="32"/>
          <w:szCs w:val="32"/>
          <w:lang w:val="en-US" w:eastAsia="zh-CN"/>
        </w:rPr>
        <w:t>第（1）项中匿名举报音频作为案件线索，我局据此进行核查；</w:t>
      </w:r>
      <w:r>
        <w:rPr>
          <w:rFonts w:hint="eastAsia" w:ascii="仿宋_GB2312" w:hAnsi="仿宋_GB2312" w:eastAsia="仿宋_GB2312" w:cs="仿宋_GB2312"/>
          <w:snapToGrid w:val="0"/>
          <w:color w:val="000000"/>
          <w:kern w:val="0"/>
          <w:sz w:val="32"/>
          <w:szCs w:val="32"/>
          <w:lang w:eastAsia="zh-CN"/>
        </w:rPr>
        <w:t>第（</w:t>
      </w:r>
      <w:r>
        <w:rPr>
          <w:rFonts w:hint="eastAsia" w:ascii="仿宋_GB2312" w:hAnsi="仿宋_GB2312" w:eastAsia="仿宋_GB2312" w:cs="仿宋_GB2312"/>
          <w:snapToGrid w:val="0"/>
          <w:color w:val="000000"/>
          <w:kern w:val="0"/>
          <w:sz w:val="32"/>
          <w:szCs w:val="32"/>
          <w:lang w:val="en-US" w:eastAsia="zh-CN"/>
        </w:rPr>
        <w:t>2）项中执法人员在当事人店中发现的两段视频为店长张**亲自提供，现场称给顾客播放的正是上述两段视频；第三段马叔的视频虽是客户分享，但该段视频是在多名顾客免费理疗时，在理疗房间内的大屏上播放，已构成利用用户评价虚假宣传的事实；第（3）项中3名顾客均为执法人员在现场检查时联系的店内顾客，且长期在该店理疗，所述内容均为当事人在店中发生的事实，并且在执法人员现场检查时，发现一段与3名顾客所述的视频内容相关的视频，视频中摆放有当事人店内销售的产品，经现场理疗老年人确认，平日播放的即为执法人员发现的该段视频，但因当事人不配合执法人员检查，利用遥控器控制电源，导致证据损毁灭失；第（4）项中执法人员在案件办理过程中全程使用执法记录仪录像，当事人接受询问笔录后经全文阅读拒绝签字，应视为不配合执法人员办案情形，后经执法人员劝说，当事人在询问笔录中签字；综上所述，当事人自案件办理初始，就不配合执法人员检查，损毁证据，拒绝签字，办案机构理应从重处罚，但考虑当事人在提交材料时积极配合，同时考虑当事人经济承受能力，故而作出减轻处罚的建议。</w:t>
      </w:r>
      <w:r>
        <w:rPr>
          <w:rFonts w:hint="eastAsia" w:ascii="仿宋_GB2312" w:hAnsi="仿宋_GB2312" w:eastAsia="仿宋_GB2312" w:cs="仿宋_GB2312"/>
          <w:b w:val="0"/>
          <w:bCs w:val="0"/>
          <w:kern w:val="1"/>
          <w:sz w:val="32"/>
          <w:szCs w:val="32"/>
          <w:lang w:val="en-US" w:eastAsia="zh-CN"/>
        </w:rPr>
        <w:t>故本局对当事人的陈述申辩理由均不予采纳。</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val="0"/>
          <w:bCs w:val="0"/>
          <w:kern w:val="1"/>
          <w:sz w:val="32"/>
          <w:szCs w:val="32"/>
          <w:lang w:val="en-US" w:eastAsia="zh-CN"/>
        </w:rPr>
        <w:t>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行为，违反了《中华人民共和国反不正当竞争法》第八条第一款：“经营者不得对其商品的性能、功能、质量、销售状态、用户评价、曾获荣誉等虚假或者引人误解的商业宣传，欺骗、误导消费者。”</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，属于违法行为。</w:t>
      </w:r>
    </w:p>
    <w:p>
      <w:pPr>
        <w:keepNext w:val="0"/>
        <w:keepLines w:val="0"/>
        <w:pageBreakBefore w:val="0"/>
        <w:widowControl w:val="0"/>
        <w:kinsoku w:val="0"/>
        <w:wordWrap/>
        <w:overflowPunct/>
        <w:topLinePunct w:val="0"/>
        <w:bidi w:val="0"/>
        <w:snapToGrid/>
        <w:spacing w:line="520" w:lineRule="exact"/>
        <w:ind w:left="0" w:leftChars="0" w:right="0" w:firstLine="644" w:firstLineChars="200"/>
        <w:jc w:val="both"/>
        <w:textAlignment w:val="auto"/>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，如实陈述违法事实并主动提供证据材料的；”的规定，综合考虑个案情况、当事人主客观情况等相关因素，坚持处罚与教育相结合的原则，决定给予当事人减轻行政处罚。</w:t>
      </w:r>
    </w:p>
    <w:p>
      <w:pPr>
        <w:keepNext w:val="0"/>
        <w:keepLines w:val="0"/>
        <w:pageBreakBefore w:val="0"/>
        <w:widowControl w:val="0"/>
        <w:kinsoku w:val="0"/>
        <w:wordWrap/>
        <w:overflowPunct/>
        <w:topLinePunct w:val="0"/>
        <w:bidi w:val="0"/>
        <w:snapToGrid/>
        <w:spacing w:line="520" w:lineRule="exact"/>
        <w:ind w:left="0" w:leftChars="0" w:right="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kern w:val="1"/>
          <w:sz w:val="32"/>
          <w:szCs w:val="32"/>
          <w:lang w:val="en-US" w:eastAsia="zh-CN"/>
        </w:rPr>
        <w:t>对当事人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000000"/>
          <w:spacing w:val="4"/>
          <w:kern w:val="0"/>
          <w:sz w:val="32"/>
          <w:szCs w:val="32"/>
          <w:lang w:eastAsia="zh-CN"/>
        </w:rPr>
        <w:t>，</w:t>
      </w:r>
      <w:r>
        <w:rPr>
          <w:rFonts w:hint="eastAsia" w:ascii="仿宋_GB2312" w:hAnsi="仿宋_GB2312" w:eastAsia="仿宋_GB2312" w:cs="仿宋_GB2312"/>
          <w:snapToGrid w:val="0"/>
          <w:color w:val="auto"/>
          <w:spacing w:val="1"/>
          <w:kern w:val="0"/>
          <w:sz w:val="32"/>
          <w:szCs w:val="32"/>
          <w:u w:val="none" w:color="auto"/>
          <w:lang w:val="en-US" w:eastAsia="zh-CN"/>
        </w:rPr>
        <w:t>依据《中华人民共和国反不正当竞争法》第二十条第二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的规定，责令当事人停止</w:t>
      </w:r>
      <w:r>
        <w:rPr>
          <w:rFonts w:hint="eastAsia" w:ascii="仿宋_GB2312" w:hAnsi="仿宋_GB2312" w:eastAsia="仿宋_GB2312" w:cs="仿宋_GB2312"/>
          <w:snapToGrid w:val="0"/>
          <w:color w:val="000000"/>
          <w:spacing w:val="1"/>
          <w:kern w:val="0"/>
          <w:sz w:val="32"/>
          <w:szCs w:val="32"/>
          <w:lang w:val="en-US" w:eastAsia="zh-CN"/>
        </w:rPr>
        <w:t>对其销售的商品的功能做虚假或引人误解的商业宣传，欺骗、误导消费者的违法</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auto"/>
          <w:spacing w:val="1"/>
          <w:kern w:val="0"/>
          <w:sz w:val="32"/>
          <w:szCs w:val="32"/>
          <w:u w:val="none" w:color="auto"/>
          <w:lang w:val="en-US" w:eastAsia="zh-CN"/>
        </w:rPr>
        <w:t>，</w:t>
      </w:r>
      <w:r>
        <w:rPr>
          <w:rFonts w:hint="eastAsia" w:ascii="仿宋_GB2312" w:hAnsi="仿宋_GB2312" w:eastAsia="仿宋_GB2312" w:cs="仿宋_GB2312"/>
          <w:bCs/>
          <w:sz w:val="32"/>
          <w:szCs w:val="32"/>
          <w:u w:val="none"/>
          <w:lang w:eastAsia="zh-CN"/>
        </w:rPr>
        <w:t>决定</w:t>
      </w:r>
      <w:r>
        <w:rPr>
          <w:rFonts w:hint="eastAsia" w:ascii="仿宋_GB2312" w:hAnsi="仿宋_GB2312" w:eastAsia="仿宋_GB2312" w:cs="仿宋_GB2312"/>
          <w:bCs/>
          <w:sz w:val="32"/>
          <w:szCs w:val="32"/>
          <w:u w:val="none"/>
        </w:rPr>
        <w:t>给予</w:t>
      </w:r>
      <w:r>
        <w:rPr>
          <w:rFonts w:hint="eastAsia" w:ascii="仿宋_GB2312" w:hAnsi="仿宋_GB2312" w:eastAsia="仿宋_GB2312" w:cs="仿宋_GB2312"/>
          <w:snapToGrid w:val="0"/>
          <w:color w:val="000000"/>
          <w:spacing w:val="-6"/>
          <w:kern w:val="0"/>
          <w:sz w:val="32"/>
          <w:szCs w:val="32"/>
          <w:lang w:val="en-US" w:eastAsia="zh-CN"/>
        </w:rPr>
        <w:t>当事人</w:t>
      </w:r>
      <w:r>
        <w:rPr>
          <w:rFonts w:hint="eastAsia" w:ascii="仿宋_GB2312" w:hAnsi="仿宋_GB2312" w:eastAsia="仿宋_GB2312" w:cs="仿宋_GB2312"/>
          <w:bCs/>
          <w:sz w:val="32"/>
          <w:szCs w:val="32"/>
          <w:u w:val="none"/>
        </w:rPr>
        <w:t>以下行政处罚：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right="0"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处50000元罚款。</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2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2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left="0" w:right="0" w:firstLine="0" w:firstLineChars="0"/>
        <w:jc w:val="both"/>
        <w:textAlignment w:val="baseline"/>
        <w:outlineLvl w:val="9"/>
        <w:rPr>
          <w:rFonts w:hint="default" w:ascii="黑体" w:hAnsi="黑体" w:eastAsia="黑体" w:cs="黑体"/>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2025年9月22日</w:t>
      </w:r>
    </w:p>
    <w:p>
      <w:pPr>
        <w:keepNext w:val="0"/>
        <w:keepLines w:val="0"/>
        <w:pageBreakBefore w:val="0"/>
        <w:widowControl/>
        <w:kinsoku w:val="0"/>
        <w:overflowPunct/>
        <w:topLinePunct w:val="0"/>
        <w:autoSpaceDE w:val="0"/>
        <w:autoSpaceDN w:val="0"/>
        <w:bidi w:val="0"/>
        <w:adjustRightInd w:val="0"/>
        <w:snapToGrid w:val="0"/>
        <w:spacing w:line="520" w:lineRule="exact"/>
        <w:ind w:left="0" w:right="0"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20" w:lineRule="exact"/>
        <w:ind w:left="0" w:right="0"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20" w:lineRule="exact"/>
        <w:ind w:left="0" w:right="0"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20" w:lineRule="exact"/>
        <w:ind w:left="0" w:right="0"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overflowPunct/>
        <w:topLinePunct w:val="0"/>
        <w:autoSpaceDE w:val="0"/>
        <w:autoSpaceDN w:val="0"/>
        <w:bidi w:val="0"/>
        <w:adjustRightInd w:val="0"/>
        <w:snapToGrid w:val="0"/>
        <w:spacing w:line="520" w:lineRule="exact"/>
        <w:ind w:left="0" w:right="0" w:firstLine="0" w:firstLineChars="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rPr>
          <w:rFonts w:ascii="仿宋" w:hAnsi="仿宋" w:eastAsia="仿宋" w:cs="仿宋"/>
          <w:snapToGrid w:val="0"/>
          <w:color w:val="000000"/>
          <w:spacing w:val="-10"/>
          <w:kern w:val="0"/>
          <w:sz w:val="32"/>
          <w:szCs w:val="32"/>
          <w:u w:val="none" w:color="auto"/>
        </w:rPr>
      </w:pPr>
      <w:r>
        <w:rPr>
          <w:rFonts w:hint="eastAsia" w:ascii="仿宋" w:hAnsi="仿宋" w:eastAsia="仿宋" w:cs="仿宋"/>
          <w:snapToGrid w:val="0"/>
          <w:color w:val="000000"/>
          <w:spacing w:val="-10"/>
          <w:kern w:val="0"/>
          <w:sz w:val="32"/>
          <w:szCs w:val="32"/>
          <w:u w:val="none" w:color="auto"/>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both"/>
        <w:textAlignment w:val="center"/>
        <w:rPr>
          <w:rFonts w:ascii="Arial" w:hAnsi="Arial" w:eastAsia="Arial" w:cs="Arial"/>
          <w:snapToGrid w:val="0"/>
          <w:color w:val="000000"/>
          <w:kern w:val="0"/>
          <w:szCs w:val="21"/>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rPr>
          <w:u w:val="none" w:color="auto"/>
        </w:rPr>
      </w:pPr>
      <w:r>
        <w:rPr>
          <w:rFonts w:ascii="仿宋" w:hAnsi="仿宋" w:eastAsia="仿宋" w:cs="仿宋"/>
          <w:snapToGrid w:val="0"/>
          <w:color w:val="000000"/>
          <w:spacing w:val="-10"/>
          <w:kern w:val="0"/>
          <w:sz w:val="32"/>
          <w:szCs w:val="32"/>
          <w:u w:val="none" w:color="auto"/>
        </w:rPr>
        <w:t>本文书一式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5439F0"/>
    <w:rsid w:val="043F044A"/>
    <w:rsid w:val="04BA298E"/>
    <w:rsid w:val="04C80C5C"/>
    <w:rsid w:val="05575A53"/>
    <w:rsid w:val="06DE505D"/>
    <w:rsid w:val="06EC4209"/>
    <w:rsid w:val="071362BC"/>
    <w:rsid w:val="07A71C00"/>
    <w:rsid w:val="084107A4"/>
    <w:rsid w:val="087D2605"/>
    <w:rsid w:val="08D5207A"/>
    <w:rsid w:val="08FE22DE"/>
    <w:rsid w:val="09793DBA"/>
    <w:rsid w:val="0A200447"/>
    <w:rsid w:val="0C8E13E2"/>
    <w:rsid w:val="0D250C0F"/>
    <w:rsid w:val="0D4F4DCF"/>
    <w:rsid w:val="0FA71274"/>
    <w:rsid w:val="0FDA5E36"/>
    <w:rsid w:val="10C728E2"/>
    <w:rsid w:val="1175072F"/>
    <w:rsid w:val="128B3B8D"/>
    <w:rsid w:val="148D5001"/>
    <w:rsid w:val="15FC2D30"/>
    <w:rsid w:val="163D0603"/>
    <w:rsid w:val="1840788C"/>
    <w:rsid w:val="19661EF5"/>
    <w:rsid w:val="19796B52"/>
    <w:rsid w:val="1A383A3E"/>
    <w:rsid w:val="1B5517A4"/>
    <w:rsid w:val="1C9A06CB"/>
    <w:rsid w:val="1CA000C1"/>
    <w:rsid w:val="1D21018F"/>
    <w:rsid w:val="1D407D37"/>
    <w:rsid w:val="1D983D4B"/>
    <w:rsid w:val="1DBE767B"/>
    <w:rsid w:val="1EDA05C4"/>
    <w:rsid w:val="1F4075F6"/>
    <w:rsid w:val="1F5429B0"/>
    <w:rsid w:val="200C4174"/>
    <w:rsid w:val="22166DC8"/>
    <w:rsid w:val="226957F4"/>
    <w:rsid w:val="22E931C6"/>
    <w:rsid w:val="23261B35"/>
    <w:rsid w:val="236C2C17"/>
    <w:rsid w:val="247840C7"/>
    <w:rsid w:val="2581222D"/>
    <w:rsid w:val="258A4521"/>
    <w:rsid w:val="26F326B7"/>
    <w:rsid w:val="27A01185"/>
    <w:rsid w:val="284537D7"/>
    <w:rsid w:val="2D4E0C87"/>
    <w:rsid w:val="2EC3346F"/>
    <w:rsid w:val="2F482AD0"/>
    <w:rsid w:val="2F960D08"/>
    <w:rsid w:val="304506F8"/>
    <w:rsid w:val="31377344"/>
    <w:rsid w:val="31382B8F"/>
    <w:rsid w:val="335E2999"/>
    <w:rsid w:val="33777226"/>
    <w:rsid w:val="33AA474B"/>
    <w:rsid w:val="35D53405"/>
    <w:rsid w:val="36597950"/>
    <w:rsid w:val="37540268"/>
    <w:rsid w:val="3BB8041A"/>
    <w:rsid w:val="3BD80222"/>
    <w:rsid w:val="3CA822D9"/>
    <w:rsid w:val="3CBD2D1F"/>
    <w:rsid w:val="3D440158"/>
    <w:rsid w:val="3D553A72"/>
    <w:rsid w:val="3DAD3342"/>
    <w:rsid w:val="3EC43742"/>
    <w:rsid w:val="3ED22F0A"/>
    <w:rsid w:val="3FA83DB9"/>
    <w:rsid w:val="3FC735CB"/>
    <w:rsid w:val="40F16FBA"/>
    <w:rsid w:val="41727C0E"/>
    <w:rsid w:val="41AC0B39"/>
    <w:rsid w:val="43604830"/>
    <w:rsid w:val="43D70D2D"/>
    <w:rsid w:val="43E31BDD"/>
    <w:rsid w:val="449E643C"/>
    <w:rsid w:val="45C47EED"/>
    <w:rsid w:val="46671088"/>
    <w:rsid w:val="48C4214E"/>
    <w:rsid w:val="493F437F"/>
    <w:rsid w:val="4AEE30A5"/>
    <w:rsid w:val="4B4B3BA5"/>
    <w:rsid w:val="4BC00B8E"/>
    <w:rsid w:val="4BEB4BA0"/>
    <w:rsid w:val="4DA14016"/>
    <w:rsid w:val="4E2B1F0C"/>
    <w:rsid w:val="4EA14EAB"/>
    <w:rsid w:val="4ED87D88"/>
    <w:rsid w:val="4EE638F1"/>
    <w:rsid w:val="4FB42966"/>
    <w:rsid w:val="4FE318BC"/>
    <w:rsid w:val="50F00E1B"/>
    <w:rsid w:val="51325086"/>
    <w:rsid w:val="520E1E36"/>
    <w:rsid w:val="52492936"/>
    <w:rsid w:val="52F37E64"/>
    <w:rsid w:val="533F317C"/>
    <w:rsid w:val="554255B7"/>
    <w:rsid w:val="56052E1A"/>
    <w:rsid w:val="57DA57AF"/>
    <w:rsid w:val="587F1B00"/>
    <w:rsid w:val="58FA5BEF"/>
    <w:rsid w:val="5B673E9E"/>
    <w:rsid w:val="5C3B6135"/>
    <w:rsid w:val="5C8277BD"/>
    <w:rsid w:val="5C9A47A5"/>
    <w:rsid w:val="5CE82AC0"/>
    <w:rsid w:val="5FA23832"/>
    <w:rsid w:val="60E8769B"/>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E0365"/>
    <w:rsid w:val="6B2600C2"/>
    <w:rsid w:val="6BCC1122"/>
    <w:rsid w:val="6C321B86"/>
    <w:rsid w:val="6ED559D3"/>
    <w:rsid w:val="6FD47C59"/>
    <w:rsid w:val="70986EE6"/>
    <w:rsid w:val="717125DB"/>
    <w:rsid w:val="7190267C"/>
    <w:rsid w:val="71A06E04"/>
    <w:rsid w:val="72472FC3"/>
    <w:rsid w:val="73024EDB"/>
    <w:rsid w:val="740D475F"/>
    <w:rsid w:val="74F059DF"/>
    <w:rsid w:val="752508A7"/>
    <w:rsid w:val="756D24F0"/>
    <w:rsid w:val="759F009B"/>
    <w:rsid w:val="781167E8"/>
    <w:rsid w:val="78B32C1C"/>
    <w:rsid w:val="79607D2E"/>
    <w:rsid w:val="7A850F42"/>
    <w:rsid w:val="7AFA6B98"/>
    <w:rsid w:val="7BDA358B"/>
    <w:rsid w:val="7C031BAC"/>
    <w:rsid w:val="7CAF77A0"/>
    <w:rsid w:val="7D8D0180"/>
    <w:rsid w:val="7D904FD8"/>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4469</Words>
  <Characters>4654</Characters>
  <Lines>0</Lines>
  <Paragraphs>0</Paragraphs>
  <TotalTime>128</TotalTime>
  <ScaleCrop>false</ScaleCrop>
  <LinksUpToDate>false</LinksUpToDate>
  <CharactersWithSpaces>5222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2025-09-22T10:29:00Z</cp:lastPrinted>
  <dcterms:modified xsi:type="dcterms:W3CDTF">2025-10-23T10:16:47Z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