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560" w:lineRule="exact"/>
        <w:ind w:left="0" w:firstLine="0" w:firstLineChars="0"/>
        <w:jc w:val="center"/>
        <w:outlineLvl w:val="0"/>
        <w:rPr>
          <w:rFonts w:hint="eastAsia" w:ascii="方正小标宋简体" w:hAnsi="方正小标宋简体" w:eastAsia="方正小标宋简体" w:cs="方正小标宋简体"/>
          <w:sz w:val="44"/>
          <w:szCs w:val="44"/>
        </w:rPr>
      </w:pPr>
      <w:bookmarkStart w:id="0" w:name="_Toc76683363"/>
      <w:bookmarkStart w:id="1" w:name="_Toc27865"/>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bidi w:val="0"/>
        <w:spacing w:line="560" w:lineRule="exact"/>
        <w:ind w:left="0" w:firstLine="0" w:firstLineChars="0"/>
        <w:jc w:val="center"/>
        <w:outlineLvl w:val="0"/>
        <w:rPr>
          <w:rFonts w:ascii="Times New Roman" w:hAnsi="Mongolian Baiti"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val="0"/>
        <w:kinsoku/>
        <w:wordWrap/>
        <w:overflowPunct/>
        <w:topLinePunct w:val="0"/>
        <w:bidi w:val="0"/>
        <w:adjustRightInd/>
        <w:spacing w:line="560" w:lineRule="exact"/>
        <w:ind w:left="0" w:firstLine="0" w:firstLineChars="0"/>
        <w:jc w:val="center"/>
        <w:textAlignment w:val="auto"/>
        <w:rPr>
          <w:rFonts w:hint="eastAsia" w:ascii="仿宋_GB2312" w:hAnsi="仿宋_GB2312" w:eastAsia="仿宋_GB2312" w:cs="仿宋_GB2312"/>
          <w:snapToGrid w:val="0"/>
          <w:color w:val="000000"/>
          <w:spacing w:val="-7"/>
          <w:kern w:val="0"/>
          <w:sz w:val="32"/>
          <w:szCs w:val="32"/>
          <w:lang w:val="en-US" w:eastAsia="zh-CN"/>
        </w:rPr>
      </w:pPr>
      <w:r>
        <w:rPr>
          <w:rFonts w:hint="eastAsia" w:ascii="仿宋_GB2312" w:hAnsi="仿宋_GB2312" w:eastAsia="仿宋_GB2312" w:cs="仿宋_GB2312"/>
          <w:snapToGrid w:val="0"/>
          <w:color w:val="000000"/>
          <w:spacing w:val="-7"/>
          <w:kern w:val="0"/>
          <w:sz w:val="32"/>
          <w:szCs w:val="32"/>
          <w:lang w:val="en-US" w:eastAsia="zh-CN"/>
        </w:rPr>
        <w:t>塔乌市监处罚〔2025〕176号</w:t>
      </w:r>
    </w:p>
    <w:p>
      <w:pPr>
        <w:keepNext w:val="0"/>
        <w:keepLines w:val="0"/>
        <w:pageBreakBefore w:val="0"/>
        <w:widowControl w:val="0"/>
        <w:kinsoku/>
        <w:wordWrap/>
        <w:overflowPunct/>
        <w:topLinePunct w:val="0"/>
        <w:bidi w:val="0"/>
        <w:adjustRightInd/>
        <w:spacing w:line="560" w:lineRule="exact"/>
        <w:ind w:left="0" w:firstLine="0" w:firstLineChars="0"/>
        <w:jc w:val="both"/>
        <w:textAlignment w:val="auto"/>
        <w:rPr>
          <w:rFonts w:hint="eastAsia" w:ascii="仿宋_GB2312" w:hAnsi="仿宋_GB2312" w:eastAsia="仿宋_GB2312" w:cs="仿宋_GB2312"/>
          <w:bCs/>
          <w:spacing w:val="0"/>
          <w:sz w:val="32"/>
          <w:szCs w:val="32"/>
          <w:lang w:eastAsia="zh-CN"/>
        </w:rPr>
      </w:pPr>
      <w:r>
        <w:rPr>
          <w:rFonts w:hint="eastAsia" w:ascii="仿宋_GB2312" w:hAnsi="仿宋_GB2312" w:eastAsia="仿宋_GB2312" w:cs="仿宋_GB2312"/>
          <w:bCs/>
          <w:kern w:val="1"/>
          <w:sz w:val="32"/>
          <w:szCs w:val="32"/>
        </w:rPr>
        <w:t>当事人：</w:t>
      </w:r>
      <w:r>
        <w:rPr>
          <w:rFonts w:hint="eastAsia" w:ascii="仿宋_GB2312" w:hAnsi="仿宋_GB2312" w:eastAsia="仿宋_GB2312" w:cs="仿宋_GB2312"/>
          <w:spacing w:val="0"/>
          <w:sz w:val="32"/>
          <w:szCs w:val="32"/>
          <w:lang w:eastAsia="zh-CN"/>
        </w:rPr>
        <w:t>乌苏市少雄蔬菜店</w:t>
      </w:r>
    </w:p>
    <w:p>
      <w:pPr>
        <w:keepNext w:val="0"/>
        <w:keepLines w:val="0"/>
        <w:pageBreakBefore w:val="0"/>
        <w:widowControl w:val="0"/>
        <w:kinsoku/>
        <w:wordWrap/>
        <w:overflowPunct/>
        <w:topLinePunct w:val="0"/>
        <w:bidi w:val="0"/>
        <w:adjustRightInd/>
        <w:spacing w:line="560" w:lineRule="exact"/>
        <w:ind w:left="0" w:firstLine="0" w:firstLineChars="0"/>
        <w:jc w:val="both"/>
        <w:textAlignment w:val="auto"/>
        <w:rPr>
          <w:rFonts w:hint="eastAsia" w:ascii="仿宋_GB2312" w:hAnsi="仿宋_GB2312" w:eastAsia="仿宋_GB2312" w:cs="仿宋_GB2312"/>
          <w:kern w:val="1"/>
          <w:sz w:val="32"/>
          <w:szCs w:val="32"/>
          <w:u w:val="none"/>
          <w:lang w:eastAsia="zh-CN"/>
        </w:rPr>
      </w:pPr>
      <w:r>
        <w:rPr>
          <w:rFonts w:hint="eastAsia" w:ascii="仿宋_GB2312" w:hAnsi="仿宋_GB2312" w:eastAsia="仿宋_GB2312" w:cs="仿宋_GB2312"/>
          <w:bCs/>
          <w:kern w:val="1"/>
          <w:sz w:val="32"/>
          <w:szCs w:val="32"/>
        </w:rPr>
        <w:t>主体资格证照</w:t>
      </w:r>
      <w:r>
        <w:rPr>
          <w:rFonts w:hint="eastAsia" w:ascii="仿宋_GB2312" w:hAnsi="仿宋_GB2312" w:eastAsia="仿宋_GB2312" w:cs="仿宋_GB2312"/>
          <w:kern w:val="1"/>
          <w:sz w:val="32"/>
          <w:szCs w:val="32"/>
        </w:rPr>
        <w:t>名称：</w:t>
      </w:r>
      <w:r>
        <w:rPr>
          <w:rFonts w:hint="eastAsia" w:ascii="仿宋_GB2312" w:hAnsi="仿宋_GB2312" w:eastAsia="仿宋_GB2312" w:cs="仿宋_GB2312"/>
          <w:kern w:val="1"/>
          <w:sz w:val="32"/>
          <w:szCs w:val="32"/>
          <w:u w:val="none"/>
          <w:lang w:eastAsia="zh-CN"/>
        </w:rPr>
        <w:t>《营业执照》</w:t>
      </w:r>
    </w:p>
    <w:p>
      <w:pPr>
        <w:keepNext w:val="0"/>
        <w:keepLines w:val="0"/>
        <w:pageBreakBefore w:val="0"/>
        <w:widowControl w:val="0"/>
        <w:kinsoku/>
        <w:wordWrap/>
        <w:overflowPunct/>
        <w:topLinePunct w:val="0"/>
        <w:bidi w:val="0"/>
        <w:adjustRightInd/>
        <w:snapToGrid/>
        <w:spacing w:line="560" w:lineRule="exact"/>
        <w:ind w:left="0" w:firstLine="0" w:firstLineChars="0"/>
        <w:jc w:val="both"/>
        <w:textAlignment w:val="auto"/>
        <w:rPr>
          <w:rFonts w:hint="eastAsia" w:ascii="仿宋_GB2312" w:hAnsi="仿宋_GB2312" w:eastAsia="仿宋_GB2312" w:cs="仿宋_GB2312"/>
          <w:w w:val="100"/>
          <w:kern w:val="1"/>
          <w:sz w:val="32"/>
          <w:szCs w:val="32"/>
          <w:u w:val="single"/>
        </w:rPr>
      </w:pPr>
      <w:r>
        <w:rPr>
          <w:rFonts w:hint="eastAsia" w:ascii="仿宋_GB2312" w:hAnsi="仿宋_GB2312" w:eastAsia="仿宋_GB2312" w:cs="仿宋_GB2312"/>
          <w:kern w:val="1"/>
          <w:sz w:val="32"/>
          <w:szCs w:val="32"/>
        </w:rPr>
        <w:t>统一社会信用代码：</w:t>
      </w:r>
      <w:r>
        <w:rPr>
          <w:rFonts w:hint="eastAsia" w:ascii="仿宋_GB2312" w:hAnsi="仿宋_GB2312" w:eastAsia="仿宋_GB2312" w:cs="仿宋_GB2312"/>
          <w:spacing w:val="0"/>
          <w:sz w:val="32"/>
          <w:szCs w:val="32"/>
          <w:lang w:eastAsia="zh-CN"/>
        </w:rPr>
        <w:t>92654202MA7A4RN517</w:t>
      </w:r>
    </w:p>
    <w:p>
      <w:pPr>
        <w:keepNext w:val="0"/>
        <w:keepLines w:val="0"/>
        <w:pageBreakBefore w:val="0"/>
        <w:widowControl w:val="0"/>
        <w:kinsoku/>
        <w:wordWrap/>
        <w:overflowPunct/>
        <w:topLinePunct w:val="0"/>
        <w:bidi w:val="0"/>
        <w:adjustRightInd/>
        <w:spacing w:line="560" w:lineRule="exact"/>
        <w:ind w:left="0" w:firstLine="0" w:firstLineChars="0"/>
        <w:jc w:val="both"/>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kern w:val="1"/>
          <w:sz w:val="32"/>
          <w:szCs w:val="32"/>
        </w:rPr>
        <w:t>住址：</w:t>
      </w:r>
      <w:r>
        <w:rPr>
          <w:rFonts w:hint="eastAsia" w:ascii="仿宋_GB2312" w:hAnsi="仿宋_GB2312" w:eastAsia="仿宋_GB2312" w:cs="仿宋_GB2312"/>
          <w:spacing w:val="-20"/>
          <w:sz w:val="32"/>
          <w:szCs w:val="32"/>
        </w:rPr>
        <w:t>新疆塔城地区乌苏市北园春路北园春市场</w:t>
      </w:r>
    </w:p>
    <w:p>
      <w:pPr>
        <w:keepNext w:val="0"/>
        <w:keepLines w:val="0"/>
        <w:pageBreakBefore w:val="0"/>
        <w:widowControl w:val="0"/>
        <w:kinsoku/>
        <w:wordWrap/>
        <w:overflowPunct/>
        <w:topLinePunct w:val="0"/>
        <w:bidi w:val="0"/>
        <w:adjustRightInd/>
        <w:spacing w:line="560" w:lineRule="exact"/>
        <w:ind w:left="0" w:firstLine="0" w:firstLineChars="0"/>
        <w:jc w:val="both"/>
        <w:textAlignment w:val="auto"/>
        <w:rPr>
          <w:rFonts w:hint="eastAsia" w:ascii="仿宋_GB2312" w:hAnsi="仿宋_GB2312" w:eastAsia="仿宋_GB2312" w:cs="仿宋_GB2312"/>
          <w:bCs/>
          <w:sz w:val="32"/>
          <w:szCs w:val="32"/>
          <w:lang w:val="en-US" w:eastAsia="zh-CN"/>
        </w:rPr>
      </w:pPr>
      <w:bookmarkStart w:id="3" w:name="_GoBack"/>
      <w:bookmarkEnd w:id="3"/>
      <w:r>
        <w:rPr>
          <w:rFonts w:hint="eastAsia" w:ascii="仿宋_GB2312" w:hAnsi="仿宋_GB2312" w:eastAsia="仿宋_GB2312" w:cs="仿宋_GB2312"/>
          <w:kern w:val="1"/>
          <w:sz w:val="32"/>
          <w:szCs w:val="32"/>
          <w:lang w:eastAsia="zh-CN"/>
        </w:rPr>
        <w:t>法定代表人</w:t>
      </w:r>
      <w:r>
        <w:rPr>
          <w:rFonts w:hint="eastAsia" w:ascii="仿宋_GB2312" w:hAnsi="仿宋_GB2312" w:eastAsia="仿宋_GB2312" w:cs="仿宋_GB2312"/>
          <w:kern w:val="1"/>
          <w:sz w:val="32"/>
          <w:szCs w:val="32"/>
        </w:rPr>
        <w:t>：</w:t>
      </w:r>
      <w:r>
        <w:rPr>
          <w:rFonts w:hint="eastAsia" w:ascii="仿宋_GB2312" w:hAnsi="仿宋_GB2312" w:eastAsia="仿宋_GB2312" w:cs="仿宋_GB2312"/>
          <w:spacing w:val="0"/>
          <w:sz w:val="32"/>
          <w:szCs w:val="32"/>
          <w:lang w:eastAsia="zh-CN"/>
        </w:rPr>
        <w:t>陈</w:t>
      </w:r>
      <w:r>
        <w:rPr>
          <w:rFonts w:hint="eastAsia" w:ascii="仿宋_GB2312" w:hAnsi="仿宋_GB2312" w:eastAsia="仿宋_GB2312" w:cs="仿宋_GB2312"/>
          <w:spacing w:val="0"/>
          <w:sz w:val="32"/>
          <w:szCs w:val="32"/>
          <w:lang w:val="en-US" w:eastAsia="zh-CN"/>
        </w:rPr>
        <w:t xml:space="preserve">**  </w:t>
      </w:r>
    </w:p>
    <w:p>
      <w:pPr>
        <w:keepNext w:val="0"/>
        <w:keepLines w:val="0"/>
        <w:pageBreakBefore w:val="0"/>
        <w:widowControl/>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sz w:val="32"/>
          <w:szCs w:val="32"/>
          <w:u w:val="none" w:color="auto"/>
          <w:lang w:val="en-US" w:eastAsia="zh-CN"/>
        </w:rPr>
      </w:pPr>
      <w:r>
        <w:rPr>
          <w:rFonts w:hint="eastAsia" w:ascii="仿宋_GB2312" w:hAnsi="仿宋_GB2312" w:eastAsia="仿宋_GB2312" w:cs="仿宋_GB2312"/>
          <w:spacing w:val="0"/>
          <w:sz w:val="32"/>
          <w:szCs w:val="32"/>
          <w:u w:val="none" w:color="auto"/>
          <w:lang w:val="en-US" w:eastAsia="zh-CN"/>
        </w:rPr>
        <w:t>2025年5月14日，乌苏市市场监督管理局委托华测检测认证集团北京有限公司对乌苏市少雄蔬菜店销售的豆芽进行食品安全抽样检验，抽样数量3kg，备样数量1.5kg。2025年6月16日，我局收到华测检测认证集团北京有限公司出具的该批豆芽的《检验报告》（编号：A2250240763501001C），检验结论为：“经抽样检验4-氯苯氧乙酸钠（以4-氯苯氧乙酸计）项目不符合国家食品药品监督管理总局农业部国家卫生和计划生育委员会关于豆芽生产过程中禁止使用6-苄基腺嘌呤等物质的公告（2015年第11号）要求，检验结论为不合格”。2025年6月18日，执法人员来到</w:t>
      </w:r>
      <w:r>
        <w:rPr>
          <w:rFonts w:hint="eastAsia" w:ascii="仿宋_GB2312" w:hAnsi="仿宋_GB2312" w:eastAsia="仿宋_GB2312" w:cs="仿宋_GB2312"/>
          <w:spacing w:val="0"/>
          <w:sz w:val="32"/>
          <w:szCs w:val="32"/>
        </w:rPr>
        <w:t>乌苏市北园春路88号北园春市场A5-02号</w:t>
      </w:r>
      <w:r>
        <w:rPr>
          <w:rFonts w:hint="eastAsia" w:ascii="仿宋_GB2312" w:hAnsi="仿宋_GB2312" w:eastAsia="仿宋_GB2312" w:cs="仿宋_GB2312"/>
          <w:spacing w:val="0"/>
          <w:sz w:val="32"/>
          <w:szCs w:val="32"/>
          <w:lang w:eastAsia="zh-CN"/>
        </w:rPr>
        <w:t>的</w:t>
      </w:r>
      <w:r>
        <w:rPr>
          <w:rFonts w:hint="eastAsia" w:ascii="仿宋_GB2312" w:hAnsi="仿宋_GB2312" w:eastAsia="仿宋_GB2312" w:cs="仿宋_GB2312"/>
          <w:spacing w:val="0"/>
          <w:sz w:val="32"/>
          <w:szCs w:val="32"/>
          <w:u w:val="none" w:color="auto"/>
          <w:lang w:val="en-US" w:eastAsia="zh-CN"/>
        </w:rPr>
        <w:t>乌苏市少雄蔬菜店，该店经营者陈**不在现场，电话委托其妻子唐**全程配合检查。执法人员向受委托人唐**送达了《食品安全抽样检验结果通知书》和《检验报告》（编号为A2250240763501001C），经现场检查上述批次豆芽已销售完毕。执法人员要求唐**提供该批次豆芽的供货商资质、进货票据，当事人现场未能提供。执法人员对当事人未按规定建立食用农产品进货查验记录制度的行为下发了《责令改正通知书》（乌市监责改〔2025〕618号），责令当事人限期改正违法经营行为。当事人在法定期限内未提出书面复检申请。当事人的上述行为违反《中华人民共和国食品安全法》第六十五条、《食用农产品市场销售质量安全监督管理办法》第八条第一款、《食用农产品市场销售质量安全监督管理办法》第十五条第一款和《中华人民共和国食品安全法》第三十四条第一项的规定。为进一步了解情况，经报局领导批准，于2025年6月19日立案，指派努尔艾力·阿不都哈得、刘佩灵对此案进行调查了解，本案于</w:t>
      </w:r>
      <w:r>
        <w:rPr>
          <w:rFonts w:hint="eastAsia" w:ascii="仿宋_GB2312" w:hAnsi="仿宋_GB2312" w:eastAsia="仿宋_GB2312" w:cs="仿宋_GB2312"/>
          <w:spacing w:val="0"/>
          <w:sz w:val="32"/>
          <w:szCs w:val="32"/>
          <w:highlight w:val="none"/>
          <w:u w:val="none" w:color="auto"/>
          <w:lang w:val="en-US" w:eastAsia="zh-CN"/>
        </w:rPr>
        <w:t>2025年8月12日</w:t>
      </w:r>
      <w:r>
        <w:rPr>
          <w:rFonts w:hint="eastAsia" w:ascii="仿宋_GB2312" w:hAnsi="仿宋_GB2312" w:eastAsia="仿宋_GB2312" w:cs="仿宋_GB2312"/>
          <w:spacing w:val="0"/>
          <w:sz w:val="32"/>
          <w:szCs w:val="32"/>
          <w:u w:val="none" w:color="auto"/>
          <w:lang w:val="en-US" w:eastAsia="zh-CN"/>
        </w:rPr>
        <w:t>调查终结。</w:t>
      </w:r>
    </w:p>
    <w:p>
      <w:pPr>
        <w:keepNext w:val="0"/>
        <w:keepLines w:val="0"/>
        <w:pageBreakBefore w:val="0"/>
        <w:widowControl/>
        <w:kinsoku/>
        <w:wordWrap/>
        <w:overflowPunct/>
        <w:topLinePunct w:val="0"/>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color w:val="auto"/>
          <w:spacing w:val="0"/>
          <w:kern w:val="1"/>
          <w:sz w:val="32"/>
          <w:szCs w:val="32"/>
          <w:u w:val="none" w:color="auto"/>
          <w:lang w:val="en-US" w:eastAsia="zh-CN"/>
        </w:rPr>
      </w:pPr>
      <w:r>
        <w:rPr>
          <w:rFonts w:hint="eastAsia" w:ascii="仿宋_GB2312" w:hAnsi="仿宋_GB2312" w:eastAsia="仿宋_GB2312" w:cs="仿宋_GB2312"/>
          <w:color w:val="000000"/>
          <w:spacing w:val="0"/>
          <w:kern w:val="0"/>
          <w:sz w:val="32"/>
          <w:szCs w:val="32"/>
          <w:u w:val="none" w:color="auto"/>
          <w:lang w:val="en-US" w:eastAsia="zh-CN" w:bidi="ar-SA"/>
        </w:rPr>
        <w:t>经查，2025年5月14日，乌苏市少雄蔬菜店</w:t>
      </w:r>
      <w:r>
        <w:rPr>
          <w:rFonts w:hint="eastAsia" w:ascii="仿宋_GB2312" w:hAnsi="仿宋_GB2312" w:eastAsia="仿宋_GB2312" w:cs="仿宋_GB2312"/>
          <w:bCs/>
          <w:spacing w:val="0"/>
          <w:sz w:val="32"/>
          <w:szCs w:val="32"/>
          <w:lang w:eastAsia="zh-CN"/>
        </w:rPr>
        <w:t>以</w:t>
      </w:r>
      <w:r>
        <w:rPr>
          <w:rFonts w:hint="eastAsia" w:ascii="仿宋_GB2312" w:hAnsi="仿宋_GB2312" w:eastAsia="仿宋_GB2312" w:cs="仿宋_GB2312"/>
          <w:sz w:val="32"/>
          <w:szCs w:val="32"/>
          <w:highlight w:val="none"/>
          <w:u w:val="none"/>
          <w:lang w:val="en-US" w:eastAsia="zh-CN"/>
        </w:rPr>
        <w:t>上门推销的方式</w:t>
      </w:r>
      <w:r>
        <w:rPr>
          <w:rFonts w:hint="eastAsia" w:ascii="仿宋_GB2312" w:hAnsi="仿宋_GB2312" w:eastAsia="仿宋_GB2312" w:cs="仿宋_GB2312"/>
          <w:color w:val="000000"/>
          <w:spacing w:val="0"/>
          <w:kern w:val="0"/>
          <w:sz w:val="32"/>
          <w:szCs w:val="32"/>
          <w:u w:val="none" w:color="auto"/>
          <w:lang w:val="en-US" w:eastAsia="zh-CN" w:bidi="ar-SA"/>
        </w:rPr>
        <w:t>从一流动商贩处</w:t>
      </w:r>
      <w:r>
        <w:rPr>
          <w:rFonts w:hint="eastAsia" w:ascii="仿宋_GB2312" w:hAnsi="仿宋_GB2312" w:eastAsia="仿宋_GB2312" w:cs="仿宋_GB2312"/>
          <w:sz w:val="32"/>
          <w:szCs w:val="32"/>
          <w:u w:val="none"/>
          <w:lang w:val="en-US" w:eastAsia="zh-CN"/>
        </w:rPr>
        <w:t>以</w:t>
      </w:r>
      <w:r>
        <w:rPr>
          <w:rFonts w:hint="eastAsia" w:ascii="仿宋_GB2312" w:hAnsi="仿宋_GB2312" w:eastAsia="仿宋_GB2312" w:cs="仿宋_GB2312"/>
          <w:w w:val="97"/>
          <w:sz w:val="32"/>
          <w:szCs w:val="32"/>
          <w:u w:val="none"/>
          <w:lang w:val="en-US" w:eastAsia="zh-CN"/>
        </w:rPr>
        <w:t>3.5元/kg的价格购进豆芽20</w:t>
      </w:r>
      <w:r>
        <w:rPr>
          <w:rFonts w:hint="eastAsia" w:ascii="仿宋_GB2312" w:hAnsi="仿宋_GB2312" w:eastAsia="仿宋_GB2312" w:cs="仿宋_GB2312"/>
          <w:sz w:val="32"/>
          <w:szCs w:val="32"/>
          <w:u w:val="none"/>
          <w:lang w:val="en-US" w:eastAsia="zh-CN"/>
        </w:rPr>
        <w:t>kg</w:t>
      </w:r>
      <w:r>
        <w:rPr>
          <w:rFonts w:hint="eastAsia" w:ascii="仿宋_GB2312" w:hAnsi="仿宋_GB2312" w:eastAsia="仿宋_GB2312" w:cs="仿宋_GB2312"/>
          <w:w w:val="97"/>
          <w:sz w:val="32"/>
          <w:szCs w:val="32"/>
          <w:u w:val="none"/>
          <w:lang w:val="en-US" w:eastAsia="zh-CN"/>
        </w:rPr>
        <w:t>，</w:t>
      </w:r>
      <w:r>
        <w:rPr>
          <w:rFonts w:hint="eastAsia" w:ascii="仿宋_GB2312" w:hAnsi="仿宋_GB2312" w:eastAsia="仿宋_GB2312" w:cs="仿宋_GB2312"/>
          <w:sz w:val="32"/>
          <w:szCs w:val="32"/>
          <w:u w:val="none"/>
          <w:lang w:val="en-US" w:eastAsia="zh-CN"/>
        </w:rPr>
        <w:t>进货总金额为70元，进货时未查验并索取供货商和该批豆芽的相关证明文件。当日</w:t>
      </w:r>
      <w:r>
        <w:rPr>
          <w:rFonts w:hint="eastAsia" w:ascii="仿宋_GB2312" w:hAnsi="仿宋_GB2312" w:eastAsia="仿宋_GB2312" w:cs="仿宋_GB2312"/>
          <w:w w:val="97"/>
          <w:sz w:val="32"/>
          <w:szCs w:val="32"/>
          <w:highlight w:val="none"/>
          <w:u w:val="none"/>
          <w:lang w:val="en-US" w:eastAsia="zh-CN"/>
        </w:rPr>
        <w:t>我局委托</w:t>
      </w:r>
      <w:r>
        <w:rPr>
          <w:rFonts w:hint="eastAsia" w:ascii="仿宋_GB2312" w:hAnsi="仿宋_GB2312" w:eastAsia="仿宋_GB2312" w:cs="仿宋_GB2312"/>
          <w:spacing w:val="0"/>
          <w:sz w:val="32"/>
          <w:szCs w:val="32"/>
          <w:u w:val="none" w:color="auto"/>
          <w:lang w:val="en-US" w:eastAsia="zh-CN"/>
        </w:rPr>
        <w:t>华测检测认证集团北京有限公司对乌苏市少雄蔬菜店销售的该批豆芽进行食品安全监督抽检，抽样基数20kg，样品数量为3kg，经检验该批豆芽为不合格。2025年6月18日，我局执法人员向当事人送达了《检验报告》（编号为A2250240763501001C）。当事人对检验结果未提出异议并签字确认。执法人员对当事人经营场所进行现场检查，发现该批次豆芽已于2025年5月14日以</w:t>
      </w:r>
      <w:r>
        <w:rPr>
          <w:rFonts w:hint="eastAsia" w:ascii="仿宋_GB2312" w:hAnsi="仿宋_GB2312" w:eastAsia="仿宋_GB2312" w:cs="仿宋_GB2312"/>
          <w:sz w:val="32"/>
          <w:szCs w:val="32"/>
          <w:highlight w:val="none"/>
          <w:u w:val="none"/>
          <w:lang w:val="en-US" w:eastAsia="zh-CN"/>
        </w:rPr>
        <w:t>4元/kg</w:t>
      </w:r>
      <w:r>
        <w:rPr>
          <w:rFonts w:hint="eastAsia" w:ascii="仿宋_GB2312" w:hAnsi="仿宋_GB2312" w:eastAsia="仿宋_GB2312" w:cs="仿宋_GB2312"/>
          <w:w w:val="97"/>
          <w:sz w:val="32"/>
          <w:szCs w:val="32"/>
          <w:highlight w:val="none"/>
          <w:u w:val="none"/>
          <w:lang w:val="en-US" w:eastAsia="zh-CN"/>
        </w:rPr>
        <w:t>的价格</w:t>
      </w:r>
      <w:r>
        <w:rPr>
          <w:rFonts w:hint="eastAsia" w:ascii="仿宋_GB2312" w:hAnsi="仿宋_GB2312" w:eastAsia="仿宋_GB2312" w:cs="仿宋_GB2312"/>
          <w:spacing w:val="0"/>
          <w:sz w:val="32"/>
          <w:szCs w:val="32"/>
          <w:u w:val="none" w:color="auto"/>
          <w:lang w:val="en-US" w:eastAsia="zh-CN"/>
        </w:rPr>
        <w:t>销售完毕。当事人无法提供供货商资质、进货票据、检验合格证明等相关文件，也未进行进货查验记录，当事人已构成</w:t>
      </w:r>
      <w:r>
        <w:rPr>
          <w:rFonts w:hint="eastAsia" w:ascii="仿宋_GB2312" w:hAnsi="仿宋_GB2312" w:eastAsia="仿宋_GB2312" w:cs="仿宋_GB2312"/>
          <w:bCs/>
          <w:spacing w:val="0"/>
          <w:sz w:val="32"/>
          <w:szCs w:val="32"/>
          <w:lang w:eastAsia="zh-CN"/>
        </w:rPr>
        <w:t>未按要求建立食用农产品进货查验记录制度和索取进货凭证且销售不合格</w:t>
      </w:r>
      <w:r>
        <w:rPr>
          <w:rFonts w:hint="eastAsia" w:ascii="仿宋_GB2312" w:hAnsi="仿宋_GB2312" w:eastAsia="仿宋_GB2312" w:cs="仿宋_GB2312"/>
          <w:kern w:val="0"/>
          <w:sz w:val="32"/>
          <w:szCs w:val="32"/>
          <w:lang w:val="en-US" w:eastAsia="zh-CN"/>
        </w:rPr>
        <w:t>豆芽的违法行为。经调查确认，该批次经检验不合格的豆芽实际销售数量为19.5kg（</w:t>
      </w:r>
      <w:r>
        <w:rPr>
          <w:rFonts w:hint="eastAsia" w:ascii="仿宋_GB2312" w:hAnsi="仿宋_GB2312" w:eastAsia="仿宋_GB2312" w:cs="仿宋_GB2312"/>
          <w:w w:val="97"/>
          <w:sz w:val="32"/>
          <w:szCs w:val="32"/>
          <w:highlight w:val="none"/>
          <w:u w:val="none"/>
          <w:lang w:val="en-US" w:eastAsia="zh-CN"/>
        </w:rPr>
        <w:t>售卖过程中有损耗</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w w:val="97"/>
          <w:sz w:val="32"/>
          <w:szCs w:val="32"/>
          <w:highlight w:val="none"/>
          <w:u w:val="none"/>
          <w:lang w:val="en-US" w:eastAsia="zh-CN"/>
        </w:rPr>
        <w:t>，</w:t>
      </w:r>
      <w:r>
        <w:rPr>
          <w:rFonts w:hint="eastAsia" w:ascii="仿宋_GB2312" w:hAnsi="仿宋_GB2312" w:eastAsia="仿宋_GB2312" w:cs="仿宋_GB2312"/>
          <w:kern w:val="0"/>
          <w:sz w:val="32"/>
          <w:szCs w:val="32"/>
          <w:lang w:val="en-US" w:eastAsia="zh-CN"/>
        </w:rPr>
        <w:t>进货单价为3.5元/kg，销售价格为4元/kg，该批不合格豆芽货值金额78元（19.5kg×4元/kg=78元）。违法所得为78元（19.5kg×4元/kg=78元）。</w:t>
      </w:r>
    </w:p>
    <w:p>
      <w:pPr>
        <w:keepNext w:val="0"/>
        <w:keepLines w:val="0"/>
        <w:pageBreakBefore w:val="0"/>
        <w:widowControl/>
        <w:kinsoku/>
        <w:wordWrap/>
        <w:overflowPunct/>
        <w:topLinePunct w:val="0"/>
        <w:bidi w:val="0"/>
        <w:adjustRightInd w:val="0"/>
        <w:snapToGrid/>
        <w:spacing w:line="560" w:lineRule="exact"/>
        <w:ind w:left="0" w:leftChars="0" w:right="0" w:firstLine="643" w:firstLineChars="200"/>
        <w:jc w:val="both"/>
        <w:textAlignment w:val="baseline"/>
        <w:rPr>
          <w:rFonts w:hint="eastAsia" w:ascii="仿宋_GB2312" w:hAnsi="仿宋_GB2312" w:eastAsia="仿宋_GB2312" w:cs="仿宋_GB2312"/>
          <w:b/>
          <w:bCs/>
          <w:color w:val="000000"/>
          <w:spacing w:val="0"/>
          <w:kern w:val="0"/>
          <w:sz w:val="32"/>
          <w:szCs w:val="32"/>
          <w:u w:val="none" w:color="auto"/>
          <w:lang w:val="en-US" w:eastAsia="zh-CN" w:bidi="ar-SA"/>
        </w:rPr>
      </w:pPr>
      <w:r>
        <w:rPr>
          <w:rFonts w:hint="eastAsia" w:ascii="仿宋_GB2312" w:hAnsi="仿宋_GB2312" w:eastAsia="仿宋_GB2312" w:cs="仿宋_GB2312"/>
          <w:b/>
          <w:bCs/>
          <w:color w:val="000000"/>
          <w:spacing w:val="0"/>
          <w:kern w:val="0"/>
          <w:sz w:val="32"/>
          <w:szCs w:val="32"/>
          <w:u w:val="none" w:color="auto"/>
          <w:lang w:val="en-US" w:eastAsia="zh-CN" w:bidi="ar-SA"/>
        </w:rPr>
        <w:t>上述事实，主要有以下证据证明：</w:t>
      </w:r>
    </w:p>
    <w:p>
      <w:pPr>
        <w:keepNext w:val="0"/>
        <w:keepLines w:val="0"/>
        <w:pageBreakBefore w:val="0"/>
        <w:widowControl/>
        <w:kinsoku/>
        <w:wordWrap/>
        <w:overflowPunct/>
        <w:topLinePunct w:val="0"/>
        <w:bidi w:val="0"/>
        <w:adjustRightInd w:val="0"/>
        <w:snapToGrid/>
        <w:spacing w:line="560" w:lineRule="exact"/>
        <w:ind w:left="0" w:leftChars="0" w:right="0" w:firstLine="640" w:firstLineChars="200"/>
        <w:jc w:val="both"/>
        <w:textAlignment w:val="baseline"/>
        <w:rPr>
          <w:rFonts w:hint="eastAsia" w:ascii="仿宋_GB2312" w:hAnsi="仿宋_GB2312" w:eastAsia="仿宋_GB2312" w:cs="仿宋_GB2312"/>
          <w:color w:val="000000"/>
          <w:spacing w:val="0"/>
          <w:kern w:val="0"/>
          <w:sz w:val="32"/>
          <w:szCs w:val="32"/>
          <w:u w:val="none" w:color="auto"/>
          <w:lang w:val="en-US" w:eastAsia="zh-CN" w:bidi="ar-SA"/>
        </w:rPr>
      </w:pPr>
      <w:r>
        <w:rPr>
          <w:rFonts w:hint="eastAsia" w:ascii="仿宋_GB2312" w:hAnsi="仿宋_GB2312" w:eastAsia="仿宋_GB2312" w:cs="仿宋_GB2312"/>
          <w:color w:val="000000"/>
          <w:spacing w:val="0"/>
          <w:kern w:val="0"/>
          <w:sz w:val="32"/>
          <w:szCs w:val="32"/>
          <w:u w:val="none" w:color="auto"/>
          <w:lang w:val="en-US" w:eastAsia="zh-CN" w:bidi="ar-SA"/>
        </w:rPr>
        <w:t>1.《营业执照》《食品经营许可证》复印件各1份，由当事人提供，证明当事人的经营主体资格及经营范围；</w:t>
      </w:r>
    </w:p>
    <w:p>
      <w:pPr>
        <w:keepNext w:val="0"/>
        <w:keepLines w:val="0"/>
        <w:pageBreakBefore w:val="0"/>
        <w:widowControl/>
        <w:kinsoku/>
        <w:wordWrap/>
        <w:overflowPunct/>
        <w:topLinePunct w:val="0"/>
        <w:bidi w:val="0"/>
        <w:adjustRightInd w:val="0"/>
        <w:snapToGrid/>
        <w:spacing w:line="560" w:lineRule="exact"/>
        <w:ind w:left="0" w:leftChars="0" w:right="0" w:firstLine="640" w:firstLineChars="200"/>
        <w:jc w:val="both"/>
        <w:textAlignment w:val="baseline"/>
        <w:rPr>
          <w:rFonts w:hint="eastAsia" w:ascii="仿宋_GB2312" w:hAnsi="仿宋_GB2312" w:eastAsia="仿宋_GB2312" w:cs="仿宋_GB2312"/>
          <w:color w:val="000000"/>
          <w:spacing w:val="0"/>
          <w:kern w:val="0"/>
          <w:sz w:val="32"/>
          <w:szCs w:val="32"/>
          <w:u w:val="none" w:color="auto"/>
          <w:lang w:val="en-US" w:eastAsia="zh-CN" w:bidi="ar-SA"/>
        </w:rPr>
      </w:pPr>
      <w:r>
        <w:rPr>
          <w:rFonts w:hint="eastAsia" w:ascii="仿宋_GB2312" w:hAnsi="仿宋_GB2312" w:eastAsia="仿宋_GB2312" w:cs="仿宋_GB2312"/>
          <w:color w:val="000000"/>
          <w:spacing w:val="0"/>
          <w:kern w:val="0"/>
          <w:sz w:val="32"/>
          <w:szCs w:val="32"/>
          <w:u w:val="none" w:color="auto"/>
          <w:lang w:val="en-US" w:eastAsia="zh-CN" w:bidi="ar-SA"/>
        </w:rPr>
        <w:t>2.身份证复印件1份，由当事人提供，证明该店经营者身份信息与《营业执照》登记信息相符；</w:t>
      </w:r>
    </w:p>
    <w:p>
      <w:pPr>
        <w:keepNext w:val="0"/>
        <w:keepLines w:val="0"/>
        <w:pageBreakBefore w:val="0"/>
        <w:widowControl/>
        <w:kinsoku/>
        <w:wordWrap/>
        <w:overflowPunct/>
        <w:topLinePunct w:val="0"/>
        <w:bidi w:val="0"/>
        <w:adjustRightInd w:val="0"/>
        <w:snapToGrid/>
        <w:spacing w:line="560" w:lineRule="exact"/>
        <w:ind w:left="0" w:leftChars="0" w:right="0" w:firstLine="640" w:firstLineChars="200"/>
        <w:jc w:val="both"/>
        <w:textAlignment w:val="baseline"/>
        <w:rPr>
          <w:rFonts w:hint="eastAsia" w:ascii="仿宋_GB2312" w:hAnsi="仿宋_GB2312" w:eastAsia="仿宋_GB2312" w:cs="仿宋_GB2312"/>
          <w:spacing w:val="0"/>
          <w:kern w:val="1"/>
          <w:sz w:val="32"/>
          <w:szCs w:val="32"/>
          <w:u w:val="none" w:color="auto"/>
          <w:lang w:val="en-US" w:eastAsia="zh-CN"/>
        </w:rPr>
      </w:pPr>
      <w:r>
        <w:rPr>
          <w:rFonts w:hint="eastAsia" w:ascii="仿宋_GB2312" w:hAnsi="仿宋_GB2312" w:eastAsia="仿宋_GB2312" w:cs="仿宋_GB2312"/>
          <w:color w:val="000000"/>
          <w:spacing w:val="0"/>
          <w:kern w:val="0"/>
          <w:sz w:val="32"/>
          <w:szCs w:val="32"/>
          <w:u w:val="none" w:color="auto"/>
          <w:lang w:val="en-US" w:eastAsia="zh-CN" w:bidi="ar-SA"/>
        </w:rPr>
        <w:t>3.现场笔录1份，证明2025年6月18日我局执法人员向当事人送达</w:t>
      </w:r>
      <w:r>
        <w:rPr>
          <w:rFonts w:hint="eastAsia" w:ascii="仿宋_GB2312" w:hAnsi="仿宋_GB2312" w:eastAsia="仿宋_GB2312" w:cs="仿宋_GB2312"/>
          <w:spacing w:val="0"/>
          <w:kern w:val="1"/>
          <w:sz w:val="32"/>
          <w:szCs w:val="32"/>
          <w:u w:val="none" w:color="auto"/>
          <w:lang w:val="en-US" w:eastAsia="zh-CN"/>
        </w:rPr>
        <w:t>《检验报告》（编号：A2250240763501001C）的现场情况及经现场检查发现该批涉案豆芽已销售完毕的事实；</w:t>
      </w:r>
    </w:p>
    <w:p>
      <w:pPr>
        <w:keepNext w:val="0"/>
        <w:keepLines w:val="0"/>
        <w:pageBreakBefore w:val="0"/>
        <w:widowControl/>
        <w:kinsoku/>
        <w:wordWrap/>
        <w:overflowPunct/>
        <w:topLinePunct w:val="0"/>
        <w:bidi w:val="0"/>
        <w:adjustRightInd w:val="0"/>
        <w:snapToGrid/>
        <w:spacing w:line="560" w:lineRule="exact"/>
        <w:ind w:left="0" w:leftChars="0" w:right="0" w:firstLine="640" w:firstLineChars="200"/>
        <w:jc w:val="both"/>
        <w:textAlignment w:val="baseline"/>
        <w:rPr>
          <w:rFonts w:hint="eastAsia" w:ascii="仿宋_GB2312" w:hAnsi="仿宋_GB2312" w:eastAsia="仿宋_GB2312" w:cs="仿宋_GB2312"/>
          <w:color w:val="000000"/>
          <w:spacing w:val="0"/>
          <w:kern w:val="0"/>
          <w:sz w:val="32"/>
          <w:szCs w:val="32"/>
          <w:u w:val="none" w:color="auto"/>
          <w:lang w:val="en-US" w:eastAsia="zh-CN" w:bidi="ar-SA"/>
        </w:rPr>
      </w:pPr>
      <w:r>
        <w:rPr>
          <w:rFonts w:hint="eastAsia" w:ascii="仿宋_GB2312" w:hAnsi="仿宋_GB2312" w:eastAsia="仿宋_GB2312" w:cs="仿宋_GB2312"/>
          <w:spacing w:val="0"/>
          <w:kern w:val="1"/>
          <w:sz w:val="32"/>
          <w:szCs w:val="32"/>
          <w:u w:val="none" w:color="auto"/>
          <w:lang w:val="en-US" w:eastAsia="zh-CN"/>
        </w:rPr>
        <w:t>4.</w:t>
      </w:r>
      <w:r>
        <w:rPr>
          <w:rFonts w:hint="eastAsia" w:ascii="仿宋_GB2312" w:hAnsi="仿宋_GB2312" w:eastAsia="仿宋_GB2312" w:cs="仿宋_GB2312"/>
          <w:color w:val="000000"/>
          <w:spacing w:val="0"/>
          <w:kern w:val="0"/>
          <w:sz w:val="32"/>
          <w:szCs w:val="32"/>
          <w:u w:val="none" w:color="auto"/>
          <w:lang w:val="en-US" w:eastAsia="zh-CN" w:bidi="ar-SA"/>
        </w:rPr>
        <w:t>询问笔录1份，证明当事人对2025年6月16日抽样检验结论的确认，以及该批次不合格豆芽的进货渠道、进货数量、购进价格、销售数量和价格的情况；证明当事人未按要求建立食用农产品进货查验记录制度和索取进货凭证的违法事实；</w:t>
      </w:r>
    </w:p>
    <w:p>
      <w:pPr>
        <w:keepNext w:val="0"/>
        <w:keepLines w:val="0"/>
        <w:pageBreakBefore w:val="0"/>
        <w:widowControl/>
        <w:kinsoku/>
        <w:wordWrap/>
        <w:overflowPunct/>
        <w:topLinePunct w:val="0"/>
        <w:bidi w:val="0"/>
        <w:adjustRightInd w:val="0"/>
        <w:snapToGrid/>
        <w:spacing w:line="560" w:lineRule="exact"/>
        <w:ind w:left="0" w:leftChars="0" w:right="0" w:firstLine="640" w:firstLineChars="200"/>
        <w:jc w:val="both"/>
        <w:textAlignment w:val="baseline"/>
        <w:outlineLvl w:val="9"/>
        <w:rPr>
          <w:rFonts w:hint="eastAsia" w:ascii="仿宋_GB2312" w:hAnsi="仿宋_GB2312" w:eastAsia="仿宋_GB2312" w:cs="仿宋_GB2312"/>
          <w:color w:val="000000"/>
          <w:spacing w:val="0"/>
          <w:kern w:val="0"/>
          <w:sz w:val="32"/>
          <w:szCs w:val="32"/>
          <w:u w:val="none" w:color="auto"/>
          <w:lang w:val="en-US" w:eastAsia="zh-CN" w:bidi="ar-SA"/>
        </w:rPr>
      </w:pPr>
      <w:r>
        <w:rPr>
          <w:rFonts w:hint="eastAsia" w:ascii="仿宋_GB2312" w:hAnsi="仿宋_GB2312" w:eastAsia="仿宋_GB2312" w:cs="仿宋_GB2312"/>
          <w:color w:val="000000"/>
          <w:spacing w:val="0"/>
          <w:kern w:val="0"/>
          <w:sz w:val="32"/>
          <w:szCs w:val="32"/>
          <w:u w:val="none" w:color="auto"/>
          <w:lang w:val="en-US" w:eastAsia="zh-CN" w:bidi="ar-SA"/>
        </w:rPr>
        <w:t>5.</w:t>
      </w:r>
      <w:r>
        <w:rPr>
          <w:rFonts w:hint="eastAsia" w:ascii="仿宋_GB2312" w:hAnsi="仿宋_GB2312" w:eastAsia="仿宋_GB2312" w:cs="仿宋_GB2312"/>
          <w:spacing w:val="0"/>
          <w:sz w:val="32"/>
          <w:szCs w:val="32"/>
          <w:u w:val="none" w:color="auto"/>
          <w:lang w:val="en-US" w:eastAsia="zh-CN"/>
        </w:rPr>
        <w:t>华测检测认证集团北京有限公司</w:t>
      </w:r>
      <w:r>
        <w:rPr>
          <w:rFonts w:hint="eastAsia" w:ascii="仿宋_GB2312" w:hAnsi="仿宋_GB2312" w:eastAsia="仿宋_GB2312" w:cs="仿宋_GB2312"/>
          <w:color w:val="000000"/>
          <w:spacing w:val="0"/>
          <w:kern w:val="0"/>
          <w:sz w:val="32"/>
          <w:szCs w:val="32"/>
          <w:u w:val="none" w:color="auto"/>
          <w:lang w:val="en-US" w:eastAsia="zh-CN" w:bidi="ar-SA"/>
        </w:rPr>
        <w:t>出具的《检验报告》</w:t>
      </w:r>
      <w:r>
        <w:rPr>
          <w:rFonts w:hint="eastAsia" w:ascii="仿宋_GB2312" w:hAnsi="仿宋_GB2312" w:eastAsia="仿宋_GB2312" w:cs="仿宋_GB2312"/>
          <w:spacing w:val="0"/>
          <w:kern w:val="1"/>
          <w:sz w:val="32"/>
          <w:szCs w:val="32"/>
          <w:u w:val="none" w:color="auto"/>
          <w:lang w:val="en-US" w:eastAsia="zh-CN"/>
        </w:rPr>
        <w:t>（编号：A2250240763501001C）</w:t>
      </w:r>
      <w:r>
        <w:rPr>
          <w:rFonts w:hint="eastAsia" w:ascii="仿宋_GB2312" w:hAnsi="仿宋_GB2312" w:eastAsia="仿宋_GB2312" w:cs="仿宋_GB2312"/>
          <w:color w:val="000000"/>
          <w:spacing w:val="0"/>
          <w:kern w:val="0"/>
          <w:sz w:val="32"/>
          <w:szCs w:val="32"/>
          <w:u w:val="none" w:color="auto"/>
          <w:lang w:val="en-US" w:eastAsia="zh-CN" w:bidi="ar-SA"/>
        </w:rPr>
        <w:t>1份，证明当事人</w:t>
      </w:r>
      <w:r>
        <w:rPr>
          <w:rFonts w:hint="eastAsia" w:ascii="仿宋_GB2312" w:hAnsi="仿宋_GB2312" w:eastAsia="仿宋_GB2312" w:cs="仿宋_GB2312"/>
          <w:color w:val="000000"/>
          <w:spacing w:val="0"/>
          <w:sz w:val="32"/>
          <w:szCs w:val="32"/>
          <w:u w:val="none" w:color="auto"/>
          <w:lang w:val="en-US" w:eastAsia="zh-CN"/>
        </w:rPr>
        <w:t>2025年5月14日购进的涉案批次豆芽经</w:t>
      </w:r>
      <w:r>
        <w:rPr>
          <w:rFonts w:hint="eastAsia" w:ascii="仿宋_GB2312" w:hAnsi="仿宋_GB2312" w:eastAsia="仿宋_GB2312" w:cs="仿宋_GB2312"/>
          <w:color w:val="000000"/>
          <w:spacing w:val="0"/>
          <w:w w:val="94"/>
          <w:sz w:val="32"/>
          <w:szCs w:val="32"/>
          <w:u w:val="none" w:color="auto"/>
          <w:lang w:val="en-US" w:eastAsia="zh-CN"/>
        </w:rPr>
        <w:t>抽样</w:t>
      </w:r>
      <w:r>
        <w:rPr>
          <w:rFonts w:hint="eastAsia" w:ascii="仿宋_GB2312" w:hAnsi="仿宋_GB2312" w:eastAsia="仿宋_GB2312" w:cs="仿宋_GB2312"/>
          <w:color w:val="000000"/>
          <w:spacing w:val="0"/>
          <w:sz w:val="32"/>
          <w:szCs w:val="32"/>
          <w:u w:val="none" w:color="auto"/>
          <w:lang w:val="en-US" w:eastAsia="zh-CN"/>
        </w:rPr>
        <w:t>检验结论为不合格</w:t>
      </w:r>
      <w:r>
        <w:rPr>
          <w:rFonts w:hint="eastAsia" w:ascii="仿宋_GB2312" w:hAnsi="仿宋_GB2312" w:eastAsia="仿宋_GB2312" w:cs="仿宋_GB2312"/>
          <w:color w:val="000000"/>
          <w:spacing w:val="0"/>
          <w:kern w:val="0"/>
          <w:sz w:val="32"/>
          <w:szCs w:val="32"/>
          <w:u w:val="none" w:color="auto"/>
          <w:lang w:val="en-US" w:eastAsia="zh-CN" w:bidi="ar-SA"/>
        </w:rPr>
        <w:t>的事实；</w:t>
      </w:r>
    </w:p>
    <w:p>
      <w:pPr>
        <w:keepNext w:val="0"/>
        <w:keepLines w:val="0"/>
        <w:pageBreakBefore w:val="0"/>
        <w:widowControl/>
        <w:kinsoku/>
        <w:wordWrap/>
        <w:overflowPunct/>
        <w:topLinePunct w:val="0"/>
        <w:bidi w:val="0"/>
        <w:adjustRightInd w:val="0"/>
        <w:snapToGrid/>
        <w:spacing w:line="560" w:lineRule="exact"/>
        <w:ind w:left="0" w:leftChars="0" w:right="0" w:firstLine="640" w:firstLineChars="200"/>
        <w:jc w:val="both"/>
        <w:textAlignment w:val="baseline"/>
        <w:outlineLvl w:val="9"/>
        <w:rPr>
          <w:rFonts w:hint="eastAsia" w:ascii="仿宋_GB2312" w:hAnsi="仿宋_GB2312" w:eastAsia="仿宋_GB2312" w:cs="仿宋_GB2312"/>
          <w:color w:val="000000"/>
          <w:spacing w:val="0"/>
          <w:kern w:val="0"/>
          <w:sz w:val="32"/>
          <w:szCs w:val="32"/>
          <w:u w:val="none" w:color="auto"/>
          <w:lang w:val="en-US" w:eastAsia="zh-CN" w:bidi="ar-SA"/>
        </w:rPr>
      </w:pPr>
      <w:r>
        <w:rPr>
          <w:rFonts w:hint="eastAsia" w:ascii="仿宋_GB2312" w:hAnsi="仿宋_GB2312" w:eastAsia="仿宋_GB2312" w:cs="仿宋_GB2312"/>
          <w:color w:val="000000"/>
          <w:spacing w:val="0"/>
          <w:kern w:val="0"/>
          <w:sz w:val="32"/>
          <w:szCs w:val="32"/>
          <w:u w:val="none" w:color="auto"/>
          <w:lang w:val="en-US" w:eastAsia="zh-CN" w:bidi="ar-SA"/>
        </w:rPr>
        <w:t>6.现场检查拍摄照片1张，音像视频资料1份，证明我局执法人员在</w:t>
      </w:r>
      <w:r>
        <w:rPr>
          <w:rFonts w:hint="eastAsia" w:ascii="仿宋_GB2312" w:hAnsi="仿宋_GB2312" w:eastAsia="仿宋_GB2312" w:cs="仿宋_GB2312"/>
          <w:color w:val="000000"/>
          <w:spacing w:val="0"/>
          <w:sz w:val="32"/>
          <w:szCs w:val="32"/>
          <w:u w:val="none" w:color="auto"/>
          <w:lang w:val="en-US" w:eastAsia="zh-CN"/>
        </w:rPr>
        <w:t>2025年6月18日向当事人</w:t>
      </w:r>
      <w:r>
        <w:rPr>
          <w:rFonts w:hint="eastAsia" w:ascii="仿宋_GB2312" w:hAnsi="仿宋_GB2312" w:eastAsia="仿宋_GB2312" w:cs="仿宋_GB2312"/>
          <w:color w:val="000000"/>
          <w:spacing w:val="0"/>
          <w:kern w:val="0"/>
          <w:sz w:val="32"/>
          <w:szCs w:val="32"/>
          <w:u w:val="none" w:color="auto"/>
          <w:lang w:val="en-US" w:eastAsia="zh-CN" w:bidi="ar-SA"/>
        </w:rPr>
        <w:t>送达《检验报告》，被委托人唐**予以签收的事实，以及现场检查的情况</w:t>
      </w:r>
      <w:r>
        <w:rPr>
          <w:rFonts w:hint="eastAsia" w:ascii="仿宋_GB2312" w:hAnsi="仿宋_GB2312" w:eastAsia="仿宋_GB2312" w:cs="仿宋_GB2312"/>
          <w:sz w:val="32"/>
          <w:szCs w:val="32"/>
          <w:u w:val="none" w:color="auto"/>
          <w:lang w:val="en-US" w:eastAsia="zh-CN"/>
        </w:rPr>
        <w:t>；</w:t>
      </w:r>
    </w:p>
    <w:p>
      <w:pPr>
        <w:keepNext w:val="0"/>
        <w:keepLines w:val="0"/>
        <w:pageBreakBefore w:val="0"/>
        <w:widowControl/>
        <w:kinsoku/>
        <w:wordWrap w:val="0"/>
        <w:overflowPunct/>
        <w:topLinePunct w:val="0"/>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color w:val="000000"/>
          <w:spacing w:val="0"/>
          <w:kern w:val="0"/>
          <w:sz w:val="32"/>
          <w:szCs w:val="32"/>
          <w:u w:val="none" w:color="auto"/>
          <w:lang w:val="en-US" w:eastAsia="zh-CN" w:bidi="ar-SA"/>
        </w:rPr>
      </w:pPr>
      <w:r>
        <w:rPr>
          <w:rFonts w:hint="eastAsia" w:ascii="仿宋_GB2312" w:hAnsi="仿宋_GB2312" w:eastAsia="仿宋_GB2312" w:cs="仿宋_GB2312"/>
          <w:color w:val="000000"/>
          <w:spacing w:val="0"/>
          <w:kern w:val="0"/>
          <w:sz w:val="32"/>
          <w:szCs w:val="32"/>
          <w:u w:val="none" w:color="auto"/>
          <w:lang w:val="en-US" w:eastAsia="zh-CN" w:bidi="ar-SA"/>
        </w:rPr>
        <w:t>7.</w:t>
      </w:r>
      <w:r>
        <w:rPr>
          <w:rFonts w:hint="eastAsia" w:ascii="仿宋_GB2312" w:hAnsi="仿宋_GB2312" w:eastAsia="仿宋_GB2312" w:cs="仿宋_GB2312"/>
          <w:spacing w:val="0"/>
          <w:kern w:val="1"/>
          <w:sz w:val="32"/>
          <w:szCs w:val="32"/>
          <w:u w:val="none" w:color="auto"/>
          <w:lang w:val="en-US" w:eastAsia="zh-CN"/>
        </w:rPr>
        <w:t>当事人提供的医院证明书及相关费用材料1份，证明</w:t>
      </w:r>
      <w:r>
        <w:rPr>
          <w:rFonts w:hint="eastAsia" w:ascii="仿宋_GB2312" w:hAnsi="仿宋_GB2312" w:eastAsia="仿宋_GB2312" w:cs="仿宋_GB2312"/>
          <w:sz w:val="32"/>
          <w:szCs w:val="32"/>
          <w:u w:val="none" w:color="auto"/>
          <w:lang w:val="en-US" w:eastAsia="zh-CN"/>
        </w:rPr>
        <w:t>当事人陈**身体状况不佳，需定期住院复查，家庭经济开支较大的情况</w:t>
      </w:r>
      <w:r>
        <w:rPr>
          <w:rFonts w:hint="eastAsia" w:ascii="仿宋_GB2312" w:hAnsi="仿宋_GB2312" w:eastAsia="仿宋_GB2312" w:cs="仿宋_GB2312"/>
          <w:color w:val="000000"/>
          <w:spacing w:val="0"/>
          <w:kern w:val="0"/>
          <w:sz w:val="32"/>
          <w:szCs w:val="32"/>
          <w:u w:val="none" w:color="auto"/>
          <w:lang w:val="en-US" w:eastAsia="zh-CN" w:bidi="ar-SA"/>
        </w:rPr>
        <w:t>。</w:t>
      </w:r>
    </w:p>
    <w:p>
      <w:pPr>
        <w:keepNext w:val="0"/>
        <w:keepLines w:val="0"/>
        <w:pageBreakBefore w:val="0"/>
        <w:widowControl/>
        <w:kinsoku/>
        <w:wordWrap/>
        <w:overflowPunct/>
        <w:topLinePunct w:val="0"/>
        <w:bidi w:val="0"/>
        <w:snapToGrid/>
        <w:spacing w:line="560" w:lineRule="exact"/>
        <w:ind w:left="0" w:leftChars="0" w:right="0" w:firstLine="640" w:firstLineChars="200"/>
        <w:jc w:val="both"/>
        <w:outlineLvl w:val="9"/>
        <w:rPr>
          <w:rFonts w:hint="eastAsia" w:ascii="仿宋_GB2312" w:hAnsi="仿宋_GB2312" w:eastAsia="仿宋_GB2312" w:cs="仿宋_GB2312"/>
          <w:color w:val="000000"/>
          <w:spacing w:val="0"/>
          <w:kern w:val="0"/>
          <w:sz w:val="32"/>
          <w:szCs w:val="32"/>
          <w:u w:val="none" w:color="auto"/>
          <w:lang w:val="en-US" w:eastAsia="zh-CN" w:bidi="ar-SA"/>
        </w:rPr>
      </w:pPr>
      <w:r>
        <w:rPr>
          <w:rFonts w:hint="eastAsia" w:ascii="仿宋_GB2312" w:hAnsi="仿宋_GB2312" w:eastAsia="仿宋_GB2312" w:cs="仿宋_GB2312"/>
          <w:color w:val="000000"/>
          <w:spacing w:val="0"/>
          <w:kern w:val="0"/>
          <w:sz w:val="32"/>
          <w:szCs w:val="32"/>
          <w:u w:val="none" w:color="auto"/>
          <w:lang w:val="en-US" w:eastAsia="zh-CN" w:bidi="ar-SA"/>
        </w:rPr>
        <w:t>我局于2025年9月8日依法向当事人送达了《行政处罚告知书》（塔乌市监罚告〔2025〕191号），告知了当事人依法享有陈述、申辩的权利，当事人在法定期限内未提出陈述、申辩，视为放弃此权利。</w:t>
      </w:r>
    </w:p>
    <w:p>
      <w:pPr>
        <w:keepNext w:val="0"/>
        <w:keepLines w:val="0"/>
        <w:pageBreakBefore w:val="0"/>
        <w:widowControl/>
        <w:kinsoku/>
        <w:wordWrap/>
        <w:overflowPunct/>
        <w:topLinePunct w:val="0"/>
        <w:bidi w:val="0"/>
        <w:snapToGrid/>
        <w:spacing w:line="560" w:lineRule="exact"/>
        <w:ind w:left="0" w:leftChars="0" w:right="0" w:firstLine="640" w:firstLineChars="200"/>
        <w:jc w:val="both"/>
        <w:outlineLvl w:val="9"/>
        <w:rPr>
          <w:rFonts w:hint="eastAsia" w:ascii="仿宋_GB2312" w:hAnsi="仿宋_GB2312" w:eastAsia="仿宋_GB2312" w:cs="仿宋_GB2312"/>
          <w:color w:val="000000"/>
          <w:spacing w:val="0"/>
          <w:kern w:val="0"/>
          <w:sz w:val="32"/>
          <w:szCs w:val="32"/>
          <w:u w:val="none" w:color="auto"/>
          <w:lang w:val="en-US" w:eastAsia="zh-CN" w:bidi="ar-SA"/>
        </w:rPr>
      </w:pPr>
      <w:r>
        <w:rPr>
          <w:rFonts w:hint="eastAsia" w:ascii="仿宋_GB2312" w:hAnsi="仿宋_GB2312" w:eastAsia="仿宋_GB2312" w:cs="仿宋_GB2312"/>
          <w:color w:val="000000"/>
          <w:spacing w:val="0"/>
          <w:kern w:val="0"/>
          <w:sz w:val="32"/>
          <w:szCs w:val="32"/>
          <w:u w:val="none" w:color="auto"/>
          <w:lang w:val="en-US" w:eastAsia="zh-CN" w:bidi="ar-SA"/>
        </w:rPr>
        <w:t>当事人</w:t>
      </w:r>
      <w:r>
        <w:rPr>
          <w:rFonts w:hint="eastAsia" w:ascii="仿宋_GB2312" w:hAnsi="仿宋_GB2312" w:eastAsia="仿宋_GB2312" w:cs="仿宋_GB2312"/>
          <w:bCs/>
          <w:spacing w:val="0"/>
          <w:sz w:val="32"/>
          <w:szCs w:val="32"/>
          <w:lang w:eastAsia="zh-CN"/>
        </w:rPr>
        <w:t>未按要求建立食用农产品进货查验记录制度的</w:t>
      </w:r>
      <w:r>
        <w:rPr>
          <w:rFonts w:hint="eastAsia" w:ascii="仿宋_GB2312" w:hAnsi="仿宋_GB2312" w:eastAsia="仿宋_GB2312" w:cs="仿宋_GB2312"/>
          <w:color w:val="000000"/>
          <w:spacing w:val="0"/>
          <w:kern w:val="0"/>
          <w:sz w:val="32"/>
          <w:szCs w:val="32"/>
          <w:u w:val="none" w:color="auto"/>
          <w:lang w:val="en-US" w:eastAsia="zh-CN" w:bidi="ar-SA"/>
        </w:rPr>
        <w:t>行为违反了《中华人民共和国食品安全法》 第六十五条“食用农产品销售者应当建立食用农产品进货查验记录制度，如实记录食用农产品的名称、数量、进货日期以及供货者名称、地址、联系方式等内容，并保存相关凭证。记录和凭证保存期限不得少于六个月。”和</w:t>
      </w:r>
      <w:r>
        <w:rPr>
          <w:rFonts w:hint="eastAsia" w:ascii="仿宋_GB2312" w:hAnsi="仿宋_GB2312" w:eastAsia="仿宋_GB2312" w:cs="仿宋_GB2312"/>
          <w:spacing w:val="0"/>
          <w:sz w:val="32"/>
          <w:szCs w:val="32"/>
          <w:u w:val="none" w:color="auto"/>
          <w:lang w:val="en-US" w:eastAsia="zh-CN"/>
        </w:rPr>
        <w:t>《食用农产品市场销售质量安全监督管理办法》第八条第一款“销售者采购食用农产品，应当依照食品安全法第六十五条的规定建立食用农产品进货查验记录制度，索取并留存食用农产品进货凭证，并核对提供者等有关信息。”</w:t>
      </w:r>
      <w:r>
        <w:rPr>
          <w:rFonts w:hint="eastAsia" w:ascii="仿宋_GB2312" w:hAnsi="仿宋_GB2312" w:eastAsia="仿宋_GB2312" w:cs="仿宋_GB2312"/>
          <w:color w:val="000000"/>
          <w:spacing w:val="0"/>
          <w:kern w:val="0"/>
          <w:sz w:val="32"/>
          <w:szCs w:val="32"/>
          <w:u w:val="none" w:color="auto"/>
          <w:lang w:val="en-US" w:eastAsia="zh-CN" w:bidi="ar-SA"/>
        </w:rPr>
        <w:t>的规定；当事人</w:t>
      </w:r>
      <w:r>
        <w:rPr>
          <w:rFonts w:hint="eastAsia" w:ascii="仿宋_GB2312" w:hAnsi="仿宋_GB2312" w:eastAsia="仿宋_GB2312" w:cs="仿宋_GB2312"/>
          <w:color w:val="auto"/>
          <w:spacing w:val="0"/>
          <w:kern w:val="1"/>
          <w:sz w:val="32"/>
          <w:szCs w:val="32"/>
          <w:u w:val="none" w:color="auto"/>
          <w:lang w:eastAsia="zh-CN"/>
        </w:rPr>
        <w:t>销售</w:t>
      </w:r>
      <w:r>
        <w:rPr>
          <w:rFonts w:hint="eastAsia" w:ascii="仿宋_GB2312" w:hAnsi="仿宋_GB2312" w:eastAsia="仿宋_GB2312" w:cs="仿宋_GB2312"/>
          <w:bCs/>
          <w:spacing w:val="0"/>
          <w:sz w:val="32"/>
          <w:szCs w:val="32"/>
          <w:lang w:eastAsia="zh-CN"/>
        </w:rPr>
        <w:t>不合格</w:t>
      </w:r>
      <w:r>
        <w:rPr>
          <w:rFonts w:hint="eastAsia" w:ascii="仿宋_GB2312" w:hAnsi="仿宋_GB2312" w:eastAsia="仿宋_GB2312" w:cs="仿宋_GB2312"/>
          <w:kern w:val="0"/>
          <w:sz w:val="32"/>
          <w:szCs w:val="32"/>
          <w:lang w:val="en-US" w:eastAsia="zh-CN"/>
        </w:rPr>
        <w:t>豆芽</w:t>
      </w:r>
      <w:r>
        <w:rPr>
          <w:rFonts w:hint="eastAsia" w:ascii="仿宋_GB2312" w:hAnsi="仿宋_GB2312" w:eastAsia="仿宋_GB2312" w:cs="仿宋_GB2312"/>
          <w:bCs/>
          <w:spacing w:val="0"/>
          <w:sz w:val="32"/>
          <w:szCs w:val="32"/>
          <w:lang w:eastAsia="zh-CN"/>
        </w:rPr>
        <w:t>的</w:t>
      </w:r>
      <w:r>
        <w:rPr>
          <w:rFonts w:hint="eastAsia" w:ascii="仿宋_GB2312" w:hAnsi="仿宋_GB2312" w:eastAsia="仿宋_GB2312" w:cs="仿宋_GB2312"/>
          <w:color w:val="000000"/>
          <w:spacing w:val="0"/>
          <w:kern w:val="0"/>
          <w:sz w:val="32"/>
          <w:szCs w:val="32"/>
          <w:u w:val="none" w:color="auto"/>
          <w:lang w:val="en-US" w:eastAsia="zh-CN" w:bidi="ar-SA"/>
        </w:rPr>
        <w:t>行为违反了《中华人民共和国食品安全法》 第三十四条第二项“禁止生产经营下列食品、食品添加剂、食品相关产品：（二）致病性微生物，农药残留、兽药残留、生物毒素、重金属等污染物质和其他可能危害人体健康的物质含量超过食品安全标准限量的食品、食品添加剂、食品相关产品；”和</w:t>
      </w:r>
      <w:r>
        <w:rPr>
          <w:rFonts w:hint="eastAsia" w:ascii="仿宋_GB2312" w:hAnsi="仿宋_GB2312" w:eastAsia="仿宋_GB2312" w:cs="仿宋_GB2312"/>
          <w:spacing w:val="0"/>
          <w:sz w:val="32"/>
          <w:szCs w:val="32"/>
          <w:u w:val="none" w:color="auto"/>
          <w:lang w:val="en-US" w:eastAsia="zh-CN"/>
        </w:rPr>
        <w:t>《食用农产品市场销售质量安全监督管理办法》第十五条第一款“禁止销售者采购、销售食品安全法第三十四条规定情形的食用农产品。”</w:t>
      </w:r>
      <w:r>
        <w:rPr>
          <w:rFonts w:hint="eastAsia" w:ascii="仿宋_GB2312" w:hAnsi="仿宋_GB2312" w:eastAsia="仿宋_GB2312" w:cs="仿宋_GB2312"/>
          <w:color w:val="000000"/>
          <w:spacing w:val="0"/>
          <w:kern w:val="0"/>
          <w:sz w:val="32"/>
          <w:szCs w:val="32"/>
          <w:u w:val="none" w:color="auto"/>
          <w:lang w:val="en-US" w:eastAsia="zh-CN" w:bidi="ar-SA"/>
        </w:rPr>
        <w:t>的规定，属于违法行为。</w:t>
      </w:r>
    </w:p>
    <w:p>
      <w:pPr>
        <w:keepNext w:val="0"/>
        <w:keepLines w:val="0"/>
        <w:pageBreakBefore w:val="0"/>
        <w:widowControl/>
        <w:kinsoku/>
        <w:wordWrap/>
        <w:overflowPunct/>
        <w:topLinePunct w:val="0"/>
        <w:bidi w:val="0"/>
        <w:snapToGrid/>
        <w:spacing w:line="560" w:lineRule="exact"/>
        <w:ind w:left="0" w:leftChars="0" w:right="0" w:firstLine="640" w:firstLineChars="200"/>
        <w:jc w:val="both"/>
        <w:outlineLvl w:val="9"/>
        <w:rPr>
          <w:rFonts w:hint="eastAsia" w:ascii="仿宋_GB2312" w:hAnsi="仿宋_GB2312" w:eastAsia="仿宋_GB2312" w:cs="仿宋_GB2312"/>
          <w:spacing w:val="0"/>
          <w:sz w:val="32"/>
          <w:szCs w:val="32"/>
          <w:u w:val="none" w:color="auto"/>
          <w:lang w:val="en-US" w:eastAsia="zh-CN"/>
        </w:rPr>
      </w:pPr>
      <w:r>
        <w:rPr>
          <w:rFonts w:hint="eastAsia" w:ascii="仿宋_GB2312" w:hAnsi="仿宋_GB2312" w:eastAsia="仿宋_GB2312" w:cs="仿宋_GB2312"/>
          <w:color w:val="000000"/>
          <w:spacing w:val="0"/>
          <w:sz w:val="32"/>
          <w:szCs w:val="32"/>
          <w:u w:val="none" w:color="auto"/>
          <w:lang w:val="en-US" w:eastAsia="zh-CN"/>
        </w:rPr>
        <w:t>鉴于当事人陈思俊在案件办理过程中态度端正，对自身的违法行为有深刻的认识，能够积极主动配合市场监督管理部门的调查，积极整改违法行为，当事人身体状况不佳，需定期住院复查，家庭开支较大，生活困难。当事人的上述情况符合</w:t>
      </w:r>
      <w:r>
        <w:rPr>
          <w:rFonts w:hint="eastAsia" w:ascii="仿宋_GB2312" w:hAnsi="仿宋_GB2312" w:eastAsia="仿宋_GB2312" w:cs="仿宋_GB2312"/>
          <w:color w:val="000000"/>
          <w:spacing w:val="0"/>
          <w:kern w:val="0"/>
          <w:sz w:val="32"/>
          <w:szCs w:val="32"/>
          <w:u w:val="none" w:color="auto"/>
          <w:lang w:val="en-US" w:eastAsia="zh-CN" w:bidi="ar-SA"/>
        </w:rPr>
        <w:t>《新疆维吾尔自治区 新疆生产建设兵团市场监督管理行政处罚裁量权适用规定》第十七条第二项、第五项“有下列情形之一的，可以依法从轻或者减轻行政处罚：（二）积极配合市场监管部门调查并主动提供证据材料的；（五）当事人因残疾或者重大疾病等原因生活确有困难的；”</w:t>
      </w:r>
      <w:r>
        <w:rPr>
          <w:rFonts w:hint="eastAsia" w:ascii="仿宋_GB2312" w:hAnsi="仿宋_GB2312" w:eastAsia="仿宋_GB2312" w:cs="仿宋_GB2312"/>
          <w:color w:val="000000"/>
          <w:spacing w:val="0"/>
          <w:sz w:val="32"/>
          <w:szCs w:val="32"/>
          <w:u w:val="none" w:color="auto"/>
          <w:lang w:val="en-US" w:eastAsia="zh-CN"/>
        </w:rPr>
        <w:t>规定，综合考虑个案情况、当事人主客观情况等相关因素，</w:t>
      </w:r>
      <w:r>
        <w:rPr>
          <w:rFonts w:hint="eastAsia" w:ascii="仿宋_GB2312" w:hAnsi="仿宋_GB2312" w:eastAsia="仿宋_GB2312" w:cs="仿宋_GB2312"/>
          <w:kern w:val="0"/>
          <w:sz w:val="32"/>
          <w:szCs w:val="32"/>
          <w:lang w:eastAsia="zh-CN"/>
        </w:rPr>
        <w:t>坚持处罚与教育相结合的原则，</w:t>
      </w:r>
      <w:r>
        <w:rPr>
          <w:rFonts w:hint="eastAsia" w:ascii="仿宋_GB2312" w:hAnsi="仿宋_GB2312" w:eastAsia="仿宋_GB2312" w:cs="仿宋_GB2312"/>
          <w:color w:val="000000"/>
          <w:spacing w:val="0"/>
          <w:sz w:val="32"/>
          <w:szCs w:val="32"/>
          <w:u w:val="none" w:color="auto"/>
          <w:lang w:val="en-US" w:eastAsia="zh-CN"/>
        </w:rPr>
        <w:t>决定给予当事人减轻行政处罚。</w:t>
      </w:r>
      <w:r>
        <w:rPr>
          <w:rFonts w:hint="eastAsia" w:ascii="仿宋_GB2312" w:hAnsi="仿宋_GB2312" w:eastAsia="仿宋_GB2312" w:cs="仿宋_GB2312"/>
          <w:color w:val="000000"/>
          <w:spacing w:val="0"/>
          <w:kern w:val="0"/>
          <w:sz w:val="32"/>
          <w:szCs w:val="32"/>
          <w:u w:val="none"/>
          <w:lang w:val="en-US" w:eastAsia="zh-CN" w:bidi="ar-SA"/>
        </w:rPr>
        <w:t xml:space="preserve"> </w:t>
      </w:r>
    </w:p>
    <w:p>
      <w:pPr>
        <w:keepNext w:val="0"/>
        <w:keepLines w:val="0"/>
        <w:pageBreakBefore w:val="0"/>
        <w:widowControl/>
        <w:kinsoku/>
        <w:wordWrap/>
        <w:overflowPunct/>
        <w:topLinePunct w:val="0"/>
        <w:bidi w:val="0"/>
        <w:snapToGrid/>
        <w:spacing w:line="560" w:lineRule="exact"/>
        <w:ind w:left="0" w:leftChars="0" w:right="0" w:firstLine="640" w:firstLineChars="200"/>
        <w:jc w:val="both"/>
        <w:outlineLvl w:val="9"/>
        <w:rPr>
          <w:rFonts w:hint="eastAsia" w:ascii="仿宋_GB2312" w:hAnsi="仿宋_GB2312" w:eastAsia="仿宋_GB2312" w:cs="仿宋_GB2312"/>
          <w:spacing w:val="0"/>
          <w:sz w:val="32"/>
          <w:szCs w:val="32"/>
          <w:u w:val="none" w:color="auto"/>
          <w:lang w:val="en-US" w:eastAsia="zh-CN"/>
        </w:rPr>
      </w:pPr>
      <w:r>
        <w:rPr>
          <w:rFonts w:hint="eastAsia" w:ascii="仿宋_GB2312" w:hAnsi="仿宋_GB2312" w:eastAsia="仿宋_GB2312" w:cs="仿宋_GB2312"/>
          <w:color w:val="000000"/>
          <w:spacing w:val="0"/>
          <w:kern w:val="0"/>
          <w:sz w:val="32"/>
          <w:szCs w:val="32"/>
          <w:u w:val="none" w:color="auto"/>
          <w:lang w:val="en-US" w:eastAsia="zh-CN" w:bidi="ar-SA"/>
        </w:rPr>
        <w:t>对当事人</w:t>
      </w:r>
      <w:r>
        <w:rPr>
          <w:rFonts w:hint="eastAsia" w:ascii="仿宋_GB2312" w:hAnsi="仿宋_GB2312" w:eastAsia="仿宋_GB2312" w:cs="仿宋_GB2312"/>
          <w:bCs/>
          <w:spacing w:val="0"/>
          <w:sz w:val="32"/>
          <w:szCs w:val="32"/>
          <w:lang w:eastAsia="zh-CN"/>
        </w:rPr>
        <w:t>未按要求建立食用农产品进货查验记录制度的</w:t>
      </w:r>
      <w:r>
        <w:rPr>
          <w:rFonts w:hint="eastAsia" w:ascii="仿宋_GB2312" w:hAnsi="仿宋_GB2312" w:eastAsia="仿宋_GB2312" w:cs="仿宋_GB2312"/>
          <w:color w:val="000000"/>
          <w:spacing w:val="0"/>
          <w:kern w:val="0"/>
          <w:sz w:val="32"/>
          <w:szCs w:val="32"/>
          <w:u w:val="none" w:color="auto"/>
          <w:lang w:val="en-US" w:eastAsia="zh-CN" w:bidi="ar-SA"/>
        </w:rPr>
        <w:t>行为，依据《</w:t>
      </w:r>
      <w:r>
        <w:rPr>
          <w:rFonts w:hint="eastAsia" w:ascii="仿宋_GB2312" w:hAnsi="仿宋_GB2312" w:eastAsia="仿宋_GB2312" w:cs="仿宋_GB2312"/>
          <w:color w:val="000000"/>
          <w:spacing w:val="0"/>
          <w:sz w:val="32"/>
          <w:szCs w:val="32"/>
          <w:u w:val="none" w:color="auto"/>
          <w:lang w:val="en-US" w:eastAsia="zh-CN"/>
        </w:rPr>
        <w:t>中华人民共和国食品安全法</w:t>
      </w:r>
      <w:r>
        <w:rPr>
          <w:rFonts w:hint="eastAsia" w:ascii="仿宋_GB2312" w:hAnsi="仿宋_GB2312" w:eastAsia="仿宋_GB2312" w:cs="仿宋_GB2312"/>
          <w:color w:val="000000"/>
          <w:spacing w:val="0"/>
          <w:kern w:val="0"/>
          <w:sz w:val="32"/>
          <w:szCs w:val="32"/>
          <w:u w:val="none" w:color="auto"/>
          <w:lang w:val="en-US" w:eastAsia="zh-CN" w:bidi="ar-SA"/>
        </w:rPr>
        <w:t>》第一百二十六条第一款：“违反本法规定，有下列情形之一的，由县级以上人民政府食品安全监督管理部门责令改正，给予警告；拒不改正的，处五千元以上五万元以下罚款；情节严重的，责令停产停业，直至吊销许可证。”、第四款：“食用农产品销售者违反本法第六十五条规定的，由县级以上人民政府食品安全监督管理部门依照第一款规定给予处罚。”和</w:t>
      </w:r>
      <w:r>
        <w:rPr>
          <w:rFonts w:hint="eastAsia" w:ascii="仿宋_GB2312" w:hAnsi="仿宋_GB2312" w:eastAsia="仿宋_GB2312" w:cs="仿宋_GB2312"/>
          <w:spacing w:val="0"/>
          <w:sz w:val="32"/>
          <w:szCs w:val="32"/>
          <w:u w:val="none" w:color="auto"/>
          <w:lang w:val="en-US" w:eastAsia="zh-CN"/>
        </w:rPr>
        <w:t>《食用农产品市场销售质量安全监督管理办法》第三十九条第一款第一项：“有下列情形之一的，由县级以上市场监督管理部门依照食品安全法第一百二十六条第一款的规定给予处罚：（一）销售者违反本办法第八条第一款规定，未按要求建立食用农产品进货查验记录制度，或者未按要求索取进货凭证的。”的规定，责令当事人改正违法行为，决定给予当事人警告。</w:t>
      </w:r>
    </w:p>
    <w:p>
      <w:pPr>
        <w:keepNext w:val="0"/>
        <w:keepLines w:val="0"/>
        <w:pageBreakBefore w:val="0"/>
        <w:widowControl/>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color w:val="000000"/>
          <w:spacing w:val="0"/>
          <w:kern w:val="0"/>
          <w:sz w:val="32"/>
          <w:szCs w:val="32"/>
          <w:u w:val="none" w:color="auto"/>
          <w:lang w:val="en-US" w:eastAsia="zh-CN" w:bidi="ar-SA"/>
        </w:rPr>
      </w:pPr>
      <w:r>
        <w:rPr>
          <w:rFonts w:hint="eastAsia" w:ascii="仿宋_GB2312" w:hAnsi="仿宋_GB2312" w:eastAsia="仿宋_GB2312" w:cs="仿宋_GB2312"/>
          <w:color w:val="000000"/>
          <w:spacing w:val="0"/>
          <w:kern w:val="0"/>
          <w:sz w:val="32"/>
          <w:szCs w:val="32"/>
          <w:u w:val="none" w:color="auto"/>
          <w:lang w:val="en-US" w:eastAsia="zh-CN" w:bidi="ar-SA"/>
        </w:rPr>
        <w:t>对当事人</w:t>
      </w:r>
      <w:r>
        <w:rPr>
          <w:rFonts w:hint="eastAsia" w:ascii="仿宋_GB2312" w:hAnsi="仿宋_GB2312" w:eastAsia="仿宋_GB2312" w:cs="仿宋_GB2312"/>
          <w:color w:val="auto"/>
          <w:spacing w:val="0"/>
          <w:kern w:val="1"/>
          <w:sz w:val="32"/>
          <w:szCs w:val="32"/>
          <w:u w:val="none" w:color="auto"/>
          <w:lang w:eastAsia="zh-CN"/>
        </w:rPr>
        <w:t>销售</w:t>
      </w:r>
      <w:r>
        <w:rPr>
          <w:rFonts w:hint="eastAsia" w:ascii="仿宋_GB2312" w:hAnsi="仿宋_GB2312" w:eastAsia="仿宋_GB2312" w:cs="仿宋_GB2312"/>
          <w:bCs/>
          <w:spacing w:val="0"/>
          <w:sz w:val="32"/>
          <w:szCs w:val="32"/>
          <w:lang w:eastAsia="zh-CN"/>
        </w:rPr>
        <w:t>不合格</w:t>
      </w:r>
      <w:r>
        <w:rPr>
          <w:rFonts w:hint="eastAsia" w:ascii="仿宋_GB2312" w:hAnsi="仿宋_GB2312" w:eastAsia="仿宋_GB2312" w:cs="仿宋_GB2312"/>
          <w:kern w:val="0"/>
          <w:sz w:val="32"/>
          <w:szCs w:val="32"/>
          <w:lang w:val="en-US" w:eastAsia="zh-CN"/>
        </w:rPr>
        <w:t>豆芽</w:t>
      </w:r>
      <w:r>
        <w:rPr>
          <w:rFonts w:hint="eastAsia" w:ascii="仿宋_GB2312" w:hAnsi="仿宋_GB2312" w:eastAsia="仿宋_GB2312" w:cs="仿宋_GB2312"/>
          <w:color w:val="000000"/>
          <w:spacing w:val="0"/>
          <w:kern w:val="0"/>
          <w:sz w:val="32"/>
          <w:szCs w:val="32"/>
          <w:u w:val="none" w:color="auto"/>
          <w:lang w:val="en-US" w:eastAsia="zh-CN" w:bidi="ar-SA"/>
        </w:rPr>
        <w:t>的行为，依据《</w:t>
      </w:r>
      <w:r>
        <w:rPr>
          <w:rFonts w:hint="eastAsia" w:ascii="仿宋_GB2312" w:hAnsi="仿宋_GB2312" w:eastAsia="仿宋_GB2312" w:cs="仿宋_GB2312"/>
          <w:color w:val="000000"/>
          <w:spacing w:val="0"/>
          <w:sz w:val="32"/>
          <w:szCs w:val="32"/>
          <w:u w:val="none" w:color="auto"/>
          <w:lang w:val="en-US" w:eastAsia="zh-CN"/>
        </w:rPr>
        <w:t>中华人民共和国食品安全法</w:t>
      </w:r>
      <w:r>
        <w:rPr>
          <w:rFonts w:hint="eastAsia" w:ascii="仿宋_GB2312" w:hAnsi="仿宋_GB2312" w:eastAsia="仿宋_GB2312" w:cs="仿宋_GB2312"/>
          <w:color w:val="000000"/>
          <w:spacing w:val="0"/>
          <w:kern w:val="0"/>
          <w:sz w:val="32"/>
          <w:szCs w:val="32"/>
          <w:u w:val="none" w:color="auto"/>
          <w:lang w:val="en-US" w:eastAsia="zh-CN" w:bidi="ar-SA"/>
        </w:rPr>
        <w:t>》第一百二十四条第一款第一项：“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一）生产经营致病性微生物，农药残留、兽药残留、生物毒素、重金属等污染物质以及其他危害人体健康的物质含量超过食品安全标准限量的食品、食品添加剂；”和</w:t>
      </w:r>
      <w:r>
        <w:rPr>
          <w:rFonts w:hint="eastAsia" w:ascii="仿宋_GB2312" w:hAnsi="仿宋_GB2312" w:eastAsia="仿宋_GB2312" w:cs="仿宋_GB2312"/>
          <w:spacing w:val="0"/>
          <w:sz w:val="32"/>
          <w:szCs w:val="32"/>
          <w:u w:val="none" w:color="auto"/>
          <w:lang w:val="en-US" w:eastAsia="zh-CN"/>
        </w:rPr>
        <w:t>《食用农产品市场销售质量安全监督管理办法》第四十二条“销售者违反本办法第十五条规定，采购、销售食品安全法第三十四条规定情形的食用农产品的，由县级以上市场监督管理部门依照食品安全法有关规定给予处罚。”</w:t>
      </w:r>
      <w:r>
        <w:rPr>
          <w:rFonts w:hint="eastAsia" w:ascii="仿宋_GB2312" w:hAnsi="仿宋_GB2312" w:eastAsia="仿宋_GB2312" w:cs="仿宋_GB2312"/>
          <w:color w:val="000000"/>
          <w:spacing w:val="0"/>
          <w:kern w:val="0"/>
          <w:sz w:val="32"/>
          <w:szCs w:val="32"/>
          <w:u w:val="none" w:color="auto"/>
          <w:lang w:val="en-US" w:eastAsia="zh-CN" w:bidi="ar-SA"/>
        </w:rPr>
        <w:t>的规定，</w:t>
      </w:r>
      <w:r>
        <w:rPr>
          <w:rFonts w:hint="eastAsia" w:ascii="仿宋_GB2312" w:hAnsi="仿宋_GB2312" w:eastAsia="仿宋_GB2312" w:cs="仿宋_GB2312"/>
          <w:sz w:val="32"/>
          <w:szCs w:val="32"/>
        </w:rPr>
        <w:t>责令当事人改正违法经营行为</w:t>
      </w:r>
      <w:r>
        <w:rPr>
          <w:rFonts w:hint="eastAsia" w:ascii="仿宋_GB2312" w:hAnsi="仿宋_GB2312" w:eastAsia="仿宋_GB2312" w:cs="仿宋_GB2312"/>
          <w:sz w:val="32"/>
          <w:szCs w:val="32"/>
          <w:lang w:eastAsia="zh-CN"/>
        </w:rPr>
        <w:t>，决定</w:t>
      </w:r>
      <w:r>
        <w:rPr>
          <w:rFonts w:hint="eastAsia" w:ascii="仿宋_GB2312" w:hAnsi="仿宋_GB2312" w:eastAsia="仿宋_GB2312" w:cs="仿宋_GB2312"/>
          <w:color w:val="000000"/>
          <w:spacing w:val="0"/>
          <w:kern w:val="0"/>
          <w:sz w:val="32"/>
          <w:szCs w:val="32"/>
          <w:u w:val="none" w:color="auto"/>
          <w:lang w:val="en-US" w:eastAsia="zh-CN" w:bidi="ar-SA"/>
        </w:rPr>
        <w:t>对当事人处罚如下：</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0" w:rightChars="0" w:firstLine="62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w w:val="97"/>
          <w:sz w:val="32"/>
          <w:szCs w:val="32"/>
          <w:highlight w:val="none"/>
          <w:u w:val="none"/>
          <w:lang w:val="en-US" w:eastAsia="zh-CN"/>
        </w:rPr>
        <w:t>1.没收违法所得78元；</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0" w:rightChars="0" w:firstLine="640" w:firstLineChars="200"/>
        <w:jc w:val="both"/>
        <w:textAlignment w:val="baseline"/>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z w:val="32"/>
          <w:szCs w:val="32"/>
          <w:lang w:val="en-US" w:eastAsia="zh-CN"/>
        </w:rPr>
        <w:t>2.处1000元罚款。</w:t>
      </w:r>
    </w:p>
    <w:p>
      <w:pPr>
        <w:keepNext w:val="0"/>
        <w:keepLines w:val="0"/>
        <w:pageBreakBefore w:val="0"/>
        <w:widowControl/>
        <w:kinsoku/>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color w:val="000000"/>
          <w:spacing w:val="0"/>
          <w:kern w:val="0"/>
          <w:sz w:val="32"/>
          <w:szCs w:val="32"/>
          <w:u w:val="none" w:color="auto"/>
          <w:lang w:val="en-US" w:eastAsia="zh-CN" w:bidi="ar-SA"/>
        </w:rPr>
      </w:pPr>
      <w:r>
        <w:rPr>
          <w:rFonts w:hint="eastAsia" w:ascii="仿宋_GB2312" w:hAnsi="仿宋_GB2312" w:eastAsia="仿宋_GB2312" w:cs="仿宋_GB2312"/>
          <w:color w:val="000000"/>
          <w:spacing w:val="0"/>
          <w:kern w:val="0"/>
          <w:sz w:val="32"/>
          <w:szCs w:val="32"/>
          <w:u w:val="none" w:color="auto"/>
          <w:lang w:val="en-US" w:eastAsia="zh-CN" w:bidi="ar-SA"/>
        </w:rPr>
        <w:t>综上，决定对当事人处罚如下：</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0" w:rightChars="0" w:firstLine="620" w:firstLineChars="200"/>
        <w:jc w:val="both"/>
        <w:textAlignment w:val="baseline"/>
        <w:outlineLvl w:val="9"/>
        <w:rPr>
          <w:rFonts w:hint="eastAsia" w:ascii="仿宋_GB2312" w:hAnsi="仿宋_GB2312" w:eastAsia="仿宋_GB2312" w:cs="仿宋_GB2312"/>
          <w:w w:val="97"/>
          <w:sz w:val="32"/>
          <w:szCs w:val="32"/>
          <w:highlight w:val="none"/>
          <w:u w:val="none"/>
          <w:lang w:val="en-US" w:eastAsia="zh-CN"/>
        </w:rPr>
      </w:pPr>
      <w:r>
        <w:rPr>
          <w:rFonts w:hint="eastAsia" w:ascii="仿宋_GB2312" w:hAnsi="仿宋_GB2312" w:eastAsia="仿宋_GB2312" w:cs="仿宋_GB2312"/>
          <w:w w:val="97"/>
          <w:sz w:val="32"/>
          <w:szCs w:val="32"/>
          <w:highlight w:val="none"/>
          <w:u w:val="none"/>
          <w:lang w:val="en-US" w:eastAsia="zh-CN"/>
        </w:rPr>
        <w:t>1.警告；</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0" w:rightChars="0" w:firstLine="62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w w:val="97"/>
          <w:sz w:val="32"/>
          <w:szCs w:val="32"/>
          <w:highlight w:val="none"/>
          <w:u w:val="none"/>
          <w:lang w:val="en-US" w:eastAsia="zh-CN"/>
        </w:rPr>
        <w:t>2.没收违法所得78元；</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0" w:rightChars="0"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3.处1000元罚款。</w:t>
      </w:r>
    </w:p>
    <w:p>
      <w:pPr>
        <w:keepNext w:val="0"/>
        <w:keepLines w:val="0"/>
        <w:pageBreakBefore w:val="0"/>
        <w:kinsoku/>
        <w:wordWrap/>
        <w:overflowPunct/>
        <w:topLinePunct w:val="0"/>
        <w:bidi w:val="0"/>
        <w:snapToGrid/>
        <w:spacing w:line="560" w:lineRule="exact"/>
        <w:ind w:left="0" w:leftChars="0" w:right="0" w:firstLine="640" w:firstLineChars="200"/>
        <w:jc w:val="both"/>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0"/>
          <w:sz w:val="32"/>
          <w:szCs w:val="32"/>
          <w:lang w:eastAsia="zh-CN"/>
        </w:rPr>
        <w:t>罚没款合计：</w:t>
      </w:r>
      <w:r>
        <w:rPr>
          <w:rFonts w:hint="eastAsia" w:ascii="仿宋_GB2312" w:hAnsi="仿宋_GB2312" w:eastAsia="仿宋_GB2312" w:cs="仿宋_GB2312"/>
          <w:spacing w:val="0"/>
          <w:sz w:val="32"/>
          <w:szCs w:val="32"/>
          <w:lang w:val="en-US" w:eastAsia="zh-CN"/>
        </w:rPr>
        <w:t>1078元</w:t>
      </w:r>
      <w:r>
        <w:rPr>
          <w:rFonts w:hint="eastAsia" w:ascii="仿宋_GB2312" w:hAnsi="仿宋_GB2312" w:eastAsia="仿宋_GB2312" w:cs="仿宋_GB2312"/>
          <w:spacing w:val="0"/>
          <w:sz w:val="32"/>
          <w:szCs w:val="32"/>
        </w:rPr>
        <w:t xml:space="preserve"> </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pacing w:val="0"/>
          <w:sz w:val="32"/>
          <w:szCs w:val="32"/>
          <w:u w:val="none" w:color="auto"/>
          <w:lang w:val="en-US" w:eastAsia="zh-CN"/>
        </w:rPr>
        <w:t xml:space="preserve">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val="0"/>
        <w:overflowPunct/>
        <w:topLinePunct w:val="0"/>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乌苏市人民法院强制执行。</w:t>
      </w:r>
    </w:p>
    <w:p>
      <w:pPr>
        <w:keepNext w:val="0"/>
        <w:keepLines w:val="0"/>
        <w:pageBreakBefore w:val="0"/>
        <w:widowControl w:val="0"/>
        <w:kinsoku/>
        <w:wordWrap w:val="0"/>
        <w:overflowPunct/>
        <w:topLinePunct w:val="0"/>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如当事人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w:t>
      </w:r>
    </w:p>
    <w:p>
      <w:pPr>
        <w:keepNext w:val="0"/>
        <w:keepLines w:val="0"/>
        <w:pageBreakBefore w:val="0"/>
        <w:widowControl w:val="0"/>
        <w:kinsoku/>
        <w:wordWrap w:val="0"/>
        <w:overflowPunct/>
        <w:topLinePunct w:val="0"/>
        <w:bidi w:val="0"/>
        <w:adjustRightInd/>
        <w:snapToGrid/>
        <w:spacing w:line="560" w:lineRule="exact"/>
        <w:ind w:left="0" w:leftChars="0" w:right="0" w:firstLine="0" w:firstLineChars="0"/>
        <w:jc w:val="both"/>
        <w:textAlignment w:val="auto"/>
        <w:outlineLvl w:val="9"/>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 xml:space="preserve"> </w:t>
      </w:r>
    </w:p>
    <w:p>
      <w:pPr>
        <w:keepNext w:val="0"/>
        <w:keepLines w:val="0"/>
        <w:pageBreakBefore w:val="0"/>
        <w:widowControl w:val="0"/>
        <w:kinsoku/>
        <w:wordWrap/>
        <w:overflowPunct/>
        <w:topLinePunct w:val="0"/>
        <w:bidi w:val="0"/>
        <w:adjustRightInd/>
        <w:snapToGrid/>
        <w:spacing w:line="560" w:lineRule="exact"/>
        <w:ind w:left="5440" w:leftChars="0" w:right="0" w:hanging="5440" w:hangingChars="1700"/>
        <w:jc w:val="both"/>
        <w:textAlignment w:val="auto"/>
        <w:outlineLvl w:val="9"/>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 xml:space="preserve">                               乌苏市市场监督管理局                               2025年9月16日</w:t>
      </w:r>
    </w:p>
    <w:p>
      <w:pPr>
        <w:keepNext w:val="0"/>
        <w:keepLines w:val="0"/>
        <w:pageBreakBefore w:val="0"/>
        <w:widowControl w:val="0"/>
        <w:kinsoku/>
        <w:wordWrap w:val="0"/>
        <w:overflowPunct/>
        <w:topLinePunct w:val="0"/>
        <w:bidi w:val="0"/>
        <w:adjustRightInd/>
        <w:snapToGrid w:val="0"/>
        <w:spacing w:line="560" w:lineRule="exact"/>
        <w:ind w:left="0" w:leftChars="0" w:right="0" w:firstLine="0" w:firstLineChars="0"/>
        <w:jc w:val="both"/>
        <w:textAlignment w:val="auto"/>
        <w:outlineLvl w:val="9"/>
        <w:rPr>
          <w:rFonts w:ascii="仿宋_GB2312" w:hAnsi="仿宋_GB2312" w:eastAsia="仿宋_GB2312" w:cs="仿宋_GB2312"/>
          <w:sz w:val="32"/>
        </w:rPr>
      </w:pPr>
      <w:r>
        <w:rPr>
          <w:rFonts w:hint="eastAsia" w:ascii="黑体" w:hAnsi="黑体" w:eastAsia="黑体" w:cs="黑体"/>
          <w:sz w:val="32"/>
        </w:rPr>
        <w:t>（市场监督管理部门将依法向社会公开行政处罚决定信息）</w:t>
      </w:r>
      <w:r>
        <w:rPr>
          <w:rFonts w:hint="eastAsia" w:ascii="仿宋_GB2312" w:hAnsi="仿宋_GB2312" w:eastAsia="仿宋_GB2312" w:cs="仿宋_GB2312"/>
          <w:kern w:val="2"/>
          <w:sz w:val="32"/>
          <w:szCs w:val="24"/>
          <w:lang w:val="en-US" w:eastAsia="zh-CN" w:bidi="ar-SA"/>
        </w:rPr>
        <w:pict>
          <v:line id="直接连接符 4" o:spid="_x0000_s1026" o:spt="20" style="position:absolute;left:0pt;margin-left:-10.45pt;margin-top:27.05pt;height:0.05pt;width:437.05pt;z-index:251661312;mso-width-relative:page;mso-height-relative:page;" fillcolor="#FFFFFF" filled="f" o:preferrelative="t" stroked="t" coordsize="21600,21600">
            <v:path arrowok="t"/>
            <v:fill on="f" color2="#FFFFFF" focussize="0,0"/>
            <v:stroke weight="1.25pt" color="#000000" color2="#FFFFFF" miterlimit="2"/>
            <v:imagedata gain="65536f" blacklevel="0f" gamma="0" o:title=""/>
            <o:lock v:ext="edit" position="f" selection="f" grouping="f" rotation="f" cropping="f" text="f" aspectratio="f"/>
          </v:line>
        </w:pict>
      </w:r>
    </w:p>
    <w:p>
      <w:pPr>
        <w:keepNext w:val="0"/>
        <w:keepLines w:val="0"/>
        <w:pageBreakBefore w:val="0"/>
        <w:widowControl w:val="0"/>
        <w:kinsoku/>
        <w:wordWrap w:val="0"/>
        <w:overflowPunct/>
        <w:topLinePunct w:val="0"/>
        <w:bidi w:val="0"/>
        <w:adjustRightInd/>
        <w:spacing w:line="560" w:lineRule="exact"/>
        <w:ind w:left="0" w:leftChars="0" w:right="0" w:firstLine="0" w:firstLineChars="0"/>
        <w:jc w:val="both"/>
        <w:textAlignment w:val="auto"/>
        <w:outlineLvl w:val="9"/>
      </w:pPr>
      <w:r>
        <w:rPr>
          <w:rFonts w:hint="eastAsia" w:ascii="仿宋_GB2312" w:hAnsi="仿宋_GB2312" w:eastAsia="仿宋_GB2312" w:cs="仿宋_GB2312"/>
          <w:bCs/>
          <w:color w:val="000000"/>
          <w:kern w:val="2"/>
          <w:sz w:val="32"/>
          <w:szCs w:val="32"/>
          <w:lang w:val="en-US" w:eastAsia="zh-CN" w:bidi="ar-SA"/>
        </w:rPr>
        <w:pict>
          <v:line id="直接连接符 5" o:spid="_x0000_s1027" o:spt="20" style="position:absolute;left:0pt;margin-left:12pt;margin-top:1650.35pt;height:0.1pt;width:453.75pt;z-index:251662336;mso-width-relative:page;mso-height-relative:page;" fillcolor="#FFFFFF" filled="f" o:preferrelative="t" stroked="t" coordsize="21600,21600">
            <v:path arrowok="t"/>
            <v:fill on="f" color2="#FFFFFF" focussize="0,0"/>
            <v:stroke weight="0.737007874015748pt" color="#000000" color2="#FFFFFF" miterlimit="2"/>
            <v:imagedata gain="65536f" blacklevel="0f" gamma="0" o:title=""/>
            <o:lock v:ext="edit" position="f" selection="f" grouping="f" rotation="f" cropping="f" text="f" aspectratio="f"/>
          </v:line>
        </w:pic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四</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rPr>
        <w:t xml:space="preserve"> 一 </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三</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份归档。</w:t>
      </w:r>
      <w:r>
        <w:rPr>
          <w:rFonts w:hint="eastAsia" w:ascii="仿宋_GB2312" w:hAnsi="仿宋_GB2312" w:eastAsia="仿宋_GB2312" w:cs="仿宋_GB2312"/>
          <w:bCs/>
          <w:color w:val="000000"/>
          <w:kern w:val="2"/>
          <w:sz w:val="32"/>
          <w:szCs w:val="32"/>
          <w:lang w:val="en-US" w:eastAsia="zh-CN" w:bidi="ar-SA"/>
        </w:rPr>
        <w:pict>
          <v:line id="直接连接符 6" o:spid="_x0000_s1028" o:spt="20" style="position:absolute;left:0pt;margin-left:0pt;margin-top:1638.35pt;height:0.1pt;width:453.75pt;z-index:251660288;mso-width-relative:page;mso-height-relative:page;" fillcolor="#FFFFFF" filled="f" o:preferrelative="t" stroked="t" coordsize="21600,21600">
            <v:path arrowok="t"/>
            <v:fill on="f" color2="#FFFFFF" focussize="0,0"/>
            <v:stroke weight="0.737007874015748pt" color="#000000" color2="#FFFFFF" miterlimit="2"/>
            <v:imagedata gain="65536f" blacklevel="0f" gamma="0" o:title=""/>
            <o:lock v:ext="edit" position="f" selection="f" grouping="f" rotation="f" cropping="f" text="f" aspectratio="f"/>
          </v:line>
        </w:pict>
      </w:r>
      <w:r>
        <w:rPr>
          <w:rFonts w:hint="eastAsia" w:ascii="仿宋_GB2312" w:hAnsi="仿宋_GB2312" w:eastAsia="仿宋_GB2312" w:cs="仿宋_GB2312"/>
          <w:bCs/>
          <w:color w:val="000000"/>
          <w:kern w:val="2"/>
          <w:sz w:val="32"/>
          <w:szCs w:val="32"/>
          <w:lang w:val="en-US" w:eastAsia="zh-CN" w:bidi="ar-SA"/>
        </w:rPr>
        <w:pict>
          <v:line id="直接连接符 3" o:spid="_x0000_s1029" o:spt="20" style="position:absolute;left:0pt;margin-left:0pt;margin-top:1638.35pt;height:0.1pt;width:453.75pt;z-index:251659264;mso-width-relative:page;mso-height-relative:page;" fillcolor="#FFFFFF" filled="f" o:preferrelative="t" stroked="t" coordsize="21600,21600">
            <v:path arrowok="t"/>
            <v:fill on="f" color2="#FFFFFF" focussize="0,0"/>
            <v:stroke weight="0.737007874015748pt" color="#000000" color2="#FFFFFF" miterlimit="2"/>
            <v:imagedata gain="65536f" blacklevel="0f" gamma="0" o:title=""/>
            <o:lock v:ext="edit" position="f" selection="f" grouping="f" rotation="f" cropping="f" text="f" aspectratio="f"/>
          </v:line>
        </w:pic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GVhMGI1ZmUzNGRlZTQ0OTEzMDRkNWVjMmRmNTBlNTIifQ=="/>
  </w:docVars>
  <w:rsids>
    <w:rsidRoot w:val="19C8581D"/>
    <w:rsid w:val="009F4C1B"/>
    <w:rsid w:val="0281282A"/>
    <w:rsid w:val="02B74240"/>
    <w:rsid w:val="06933D1B"/>
    <w:rsid w:val="079C0384"/>
    <w:rsid w:val="0953428A"/>
    <w:rsid w:val="098C2285"/>
    <w:rsid w:val="0C886D05"/>
    <w:rsid w:val="0D817B82"/>
    <w:rsid w:val="0E796AAB"/>
    <w:rsid w:val="100C48AC"/>
    <w:rsid w:val="10CF41FE"/>
    <w:rsid w:val="124D44D7"/>
    <w:rsid w:val="130F3E82"/>
    <w:rsid w:val="134C1D6F"/>
    <w:rsid w:val="14A06D86"/>
    <w:rsid w:val="14BE346A"/>
    <w:rsid w:val="1524042E"/>
    <w:rsid w:val="19464546"/>
    <w:rsid w:val="194E6691"/>
    <w:rsid w:val="19C8581D"/>
    <w:rsid w:val="19FD67E3"/>
    <w:rsid w:val="1A2F1202"/>
    <w:rsid w:val="1A826533"/>
    <w:rsid w:val="1B5A719C"/>
    <w:rsid w:val="1B6F54BE"/>
    <w:rsid w:val="1BDF48BD"/>
    <w:rsid w:val="1D1B64F1"/>
    <w:rsid w:val="1E8F2A30"/>
    <w:rsid w:val="1EB47989"/>
    <w:rsid w:val="1ED17950"/>
    <w:rsid w:val="1FA7488F"/>
    <w:rsid w:val="221D1D08"/>
    <w:rsid w:val="2279112C"/>
    <w:rsid w:val="22DB4AB1"/>
    <w:rsid w:val="23A737DF"/>
    <w:rsid w:val="249A1ED8"/>
    <w:rsid w:val="24FF380F"/>
    <w:rsid w:val="251E2383"/>
    <w:rsid w:val="25783B09"/>
    <w:rsid w:val="25E41347"/>
    <w:rsid w:val="26086C3B"/>
    <w:rsid w:val="26A3496B"/>
    <w:rsid w:val="27E733C6"/>
    <w:rsid w:val="288B3B53"/>
    <w:rsid w:val="28F039B6"/>
    <w:rsid w:val="29626662"/>
    <w:rsid w:val="2A4577CC"/>
    <w:rsid w:val="2AD92954"/>
    <w:rsid w:val="2AEC6869"/>
    <w:rsid w:val="2C6B2858"/>
    <w:rsid w:val="2C857ECA"/>
    <w:rsid w:val="2D9F43DF"/>
    <w:rsid w:val="2E615930"/>
    <w:rsid w:val="2E8203DE"/>
    <w:rsid w:val="2ED33660"/>
    <w:rsid w:val="2F8006E2"/>
    <w:rsid w:val="2F890149"/>
    <w:rsid w:val="313F6598"/>
    <w:rsid w:val="321A6940"/>
    <w:rsid w:val="33556DA9"/>
    <w:rsid w:val="343E30F0"/>
    <w:rsid w:val="348E3E46"/>
    <w:rsid w:val="35A76E34"/>
    <w:rsid w:val="361971D0"/>
    <w:rsid w:val="370138CA"/>
    <w:rsid w:val="389E6CFC"/>
    <w:rsid w:val="38D07A9A"/>
    <w:rsid w:val="38DF3B98"/>
    <w:rsid w:val="3B371D24"/>
    <w:rsid w:val="3D623158"/>
    <w:rsid w:val="3DBD6105"/>
    <w:rsid w:val="3E377C66"/>
    <w:rsid w:val="3F6413E1"/>
    <w:rsid w:val="406475D5"/>
    <w:rsid w:val="414B4967"/>
    <w:rsid w:val="41C60AF2"/>
    <w:rsid w:val="42197D7D"/>
    <w:rsid w:val="42562163"/>
    <w:rsid w:val="425F0D40"/>
    <w:rsid w:val="435439A2"/>
    <w:rsid w:val="45056264"/>
    <w:rsid w:val="4508505B"/>
    <w:rsid w:val="465E2BBD"/>
    <w:rsid w:val="48D73E04"/>
    <w:rsid w:val="496F0BFB"/>
    <w:rsid w:val="49D21792"/>
    <w:rsid w:val="4AFB201B"/>
    <w:rsid w:val="4BFA56C4"/>
    <w:rsid w:val="4C1C6B6C"/>
    <w:rsid w:val="4C6E2566"/>
    <w:rsid w:val="4C9618B6"/>
    <w:rsid w:val="4CB22BAD"/>
    <w:rsid w:val="4D233F9A"/>
    <w:rsid w:val="4E3A01FD"/>
    <w:rsid w:val="4E596E78"/>
    <w:rsid w:val="4FE428F7"/>
    <w:rsid w:val="50345982"/>
    <w:rsid w:val="50613AE5"/>
    <w:rsid w:val="50994837"/>
    <w:rsid w:val="51121E6C"/>
    <w:rsid w:val="51BC4394"/>
    <w:rsid w:val="536A7240"/>
    <w:rsid w:val="54840334"/>
    <w:rsid w:val="55346855"/>
    <w:rsid w:val="553C65F0"/>
    <w:rsid w:val="55441DF0"/>
    <w:rsid w:val="56B3770C"/>
    <w:rsid w:val="57CF0AB7"/>
    <w:rsid w:val="59440C82"/>
    <w:rsid w:val="59917C1E"/>
    <w:rsid w:val="5A6667DB"/>
    <w:rsid w:val="5ACE0119"/>
    <w:rsid w:val="5B5F3928"/>
    <w:rsid w:val="5CBE30C2"/>
    <w:rsid w:val="5CD10E2D"/>
    <w:rsid w:val="5D401A22"/>
    <w:rsid w:val="5E4F138D"/>
    <w:rsid w:val="5F313E05"/>
    <w:rsid w:val="5F5617D0"/>
    <w:rsid w:val="5FA349A9"/>
    <w:rsid w:val="62154A5E"/>
    <w:rsid w:val="632D48FF"/>
    <w:rsid w:val="640677B3"/>
    <w:rsid w:val="65DB55A9"/>
    <w:rsid w:val="66B50C27"/>
    <w:rsid w:val="67227A2D"/>
    <w:rsid w:val="6AA877EA"/>
    <w:rsid w:val="6AE74ABB"/>
    <w:rsid w:val="6BFC15B7"/>
    <w:rsid w:val="6C941AA7"/>
    <w:rsid w:val="6C9F2CF6"/>
    <w:rsid w:val="6D373C2D"/>
    <w:rsid w:val="6D681AB1"/>
    <w:rsid w:val="6DC73E14"/>
    <w:rsid w:val="6DD83B98"/>
    <w:rsid w:val="6F245507"/>
    <w:rsid w:val="6F8F2BAE"/>
    <w:rsid w:val="6FBB39A3"/>
    <w:rsid w:val="709906C0"/>
    <w:rsid w:val="710F18B9"/>
    <w:rsid w:val="72217DBF"/>
    <w:rsid w:val="72367337"/>
    <w:rsid w:val="738833AE"/>
    <w:rsid w:val="73F3249F"/>
    <w:rsid w:val="74BD4884"/>
    <w:rsid w:val="76B864E6"/>
    <w:rsid w:val="76E01C9C"/>
    <w:rsid w:val="78EE0B1F"/>
    <w:rsid w:val="79456D75"/>
    <w:rsid w:val="79FA156C"/>
    <w:rsid w:val="7CA86922"/>
    <w:rsid w:val="7CBB3595"/>
    <w:rsid w:val="7DBA6AEF"/>
    <w:rsid w:val="7E1752BB"/>
    <w:rsid w:val="7E2C3B07"/>
    <w:rsid w:val="7EC938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autoRedefine/>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footer"/>
    <w:basedOn w:val="1"/>
    <w:uiPriority w:val="0"/>
    <w:pPr>
      <w:tabs>
        <w:tab w:val="center" w:pos="4153"/>
        <w:tab w:val="right" w:pos="8306"/>
      </w:tabs>
      <w:snapToGrid w:val="0"/>
      <w:jc w:val="left"/>
    </w:pPr>
    <w:rPr>
      <w:sz w:val="18"/>
    </w:rPr>
  </w:style>
  <w:style w:type="paragraph" w:customStyle="1" w:styleId="6">
    <w:name w:val="Other|1"/>
    <w:basedOn w:val="1"/>
    <w:autoRedefine/>
    <w:qFormat/>
    <w:uiPriority w:val="0"/>
    <w:pPr>
      <w:spacing w:after="160" w:line="372" w:lineRule="auto"/>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3717</Words>
  <Characters>4026</Characters>
  <Lines>0</Lines>
  <Paragraphs>0</Paragraphs>
  <TotalTime>7</TotalTime>
  <ScaleCrop>false</ScaleCrop>
  <LinksUpToDate>false</LinksUpToDate>
  <CharactersWithSpaces>4107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2025-09-24T09:49:00Z</cp:lastPrinted>
  <dcterms:modified xsi:type="dcterms:W3CDTF">2025-10-23T10:17:36Z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y fmtid="{D5CDD505-2E9C-101B-9397-08002B2CF9AE}" pid="4" name="KSOTemplateDocerSaveRecord">
    <vt:lpwstr>eyJoZGlkIjoiMjhjYjA5MTE5ZDA4NTVkMjc4ZGUyZjQzZWU4NWQ2Y2YiLCJ1c2VySWQiOiI5NTE2MTA2NTAifQ==</vt:lpwstr>
  </property>
</Properties>
</file>