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60" w:lineRule="exact"/>
        <w:ind w:firstLine="0" w:firstLineChars="0"/>
        <w:jc w:val="center"/>
        <w:textAlignment w:val="auto"/>
        <w:outlineLvl w:val="0"/>
        <w:rPr>
          <w:rFonts w:hint="eastAsia" w:ascii="方正小标宋简体" w:hAnsi="方正小标宋简体" w:eastAsia="方正小标宋简体" w:cs="方正小标宋简体"/>
          <w:sz w:val="44"/>
          <w:szCs w:val="44"/>
        </w:rPr>
      </w:pPr>
      <w:bookmarkStart w:id="0" w:name="_Toc76683363"/>
      <w:bookmarkStart w:id="1" w:name="_Toc27865"/>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p>
    <w:p>
      <w:pPr>
        <w:keepNext w:val="0"/>
        <w:keepLines w:val="0"/>
        <w:pageBreakBefore w:val="0"/>
        <w:kinsoku/>
        <w:wordWrap/>
        <w:overflowPunct/>
        <w:topLinePunct w:val="0"/>
        <w:autoSpaceDE/>
        <w:autoSpaceDN/>
        <w:bidi w:val="0"/>
        <w:adjustRightInd/>
        <w:spacing w:line="560" w:lineRule="exact"/>
        <w:ind w:firstLine="0" w:firstLineChars="0"/>
        <w:jc w:val="center"/>
        <w:textAlignment w:val="auto"/>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0"/>
      <w:bookmarkEnd w:id="1"/>
      <w:bookmarkEnd w:id="2"/>
    </w:p>
    <w:p>
      <w:pPr>
        <w:keepNext w:val="0"/>
        <w:keepLines w:val="0"/>
        <w:pageBreakBefore w:val="0"/>
        <w:widowControl/>
        <w:kinsoku/>
        <w:wordWrap/>
        <w:overflowPunct/>
        <w:topLinePunct w:val="0"/>
        <w:autoSpaceDE/>
        <w:autoSpaceDN/>
        <w:bidi w:val="0"/>
        <w:adjustRightInd/>
        <w:snapToGrid w:val="0"/>
        <w:spacing w:line="560" w:lineRule="exact"/>
        <w:ind w:right="55" w:firstLine="0" w:firstLineChars="0"/>
        <w:jc w:val="center"/>
        <w:textAlignment w:val="auto"/>
        <w:outlineLvl w:val="1"/>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bCs/>
          <w:color w:val="000000"/>
          <w:sz w:val="32"/>
          <w:szCs w:val="32"/>
          <w:u w:val="none"/>
          <w:lang w:val="en-US" w:eastAsia="zh-CN"/>
        </w:rPr>
        <w:t>塔</w:t>
      </w:r>
      <w:r>
        <w:rPr>
          <w:rFonts w:hint="eastAsia" w:ascii="仿宋_GB2312" w:hAnsi="仿宋_GB2312" w:eastAsia="仿宋_GB2312" w:cs="仿宋_GB2312"/>
          <w:bCs/>
          <w:color w:val="000000"/>
          <w:sz w:val="32"/>
          <w:szCs w:val="32"/>
          <w:u w:val="none"/>
          <w:lang w:eastAsia="zh-CN"/>
        </w:rPr>
        <w:t>乌</w:t>
      </w:r>
      <w:r>
        <w:rPr>
          <w:rFonts w:hint="eastAsia" w:ascii="仿宋_GB2312" w:hAnsi="仿宋_GB2312" w:eastAsia="仿宋_GB2312" w:cs="仿宋_GB2312"/>
          <w:bCs/>
          <w:color w:val="000000"/>
          <w:sz w:val="32"/>
          <w:szCs w:val="32"/>
          <w:u w:val="none"/>
        </w:rPr>
        <w:t>市监处罚〔</w:t>
      </w:r>
      <w:r>
        <w:rPr>
          <w:rFonts w:hint="eastAsia" w:ascii="仿宋_GB2312" w:hAnsi="仿宋_GB2312" w:eastAsia="仿宋_GB2312" w:cs="仿宋_GB2312"/>
          <w:bCs/>
          <w:color w:val="000000"/>
          <w:sz w:val="32"/>
          <w:szCs w:val="32"/>
          <w:u w:val="none"/>
          <w:lang w:val="en-US" w:eastAsia="zh-CN"/>
        </w:rPr>
        <w:t>2025</w:t>
      </w:r>
      <w:r>
        <w:rPr>
          <w:rFonts w:hint="eastAsia" w:ascii="仿宋_GB2312" w:hAnsi="仿宋_GB2312" w:eastAsia="仿宋_GB2312" w:cs="仿宋_GB2312"/>
          <w:bCs/>
          <w:color w:val="000000"/>
          <w:sz w:val="32"/>
          <w:szCs w:val="32"/>
          <w:u w:val="none"/>
        </w:rPr>
        <w:t>〕</w:t>
      </w:r>
      <w:r>
        <w:rPr>
          <w:rFonts w:hint="eastAsia" w:ascii="仿宋_GB2312" w:hAnsi="仿宋_GB2312" w:eastAsia="仿宋_GB2312" w:cs="仿宋_GB2312"/>
          <w:bCs/>
          <w:color w:val="000000"/>
          <w:sz w:val="32"/>
          <w:szCs w:val="32"/>
          <w:u w:val="none"/>
          <w:lang w:val="en-US" w:eastAsia="zh-CN"/>
        </w:rPr>
        <w:t>179</w:t>
      </w:r>
      <w:r>
        <w:rPr>
          <w:rFonts w:hint="eastAsia" w:ascii="仿宋_GB2312" w:hAnsi="仿宋_GB2312" w:eastAsia="仿宋_GB2312" w:cs="仿宋_GB2312"/>
          <w:bCs/>
          <w:color w:val="000000"/>
          <w:sz w:val="32"/>
          <w:szCs w:val="32"/>
          <w:u w:val="none"/>
        </w:rPr>
        <w:t>号</w:t>
      </w:r>
      <w:r>
        <w:rPr>
          <w:rFonts w:hint="eastAsia" w:ascii="仿宋_GB2312" w:hAnsi="仿宋_GB2312" w:eastAsia="仿宋_GB2312" w:cs="仿宋_GB2312"/>
          <w:color w:val="000000"/>
          <w:sz w:val="32"/>
          <w:szCs w:val="32"/>
          <w:u w:val="none"/>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widowControl w:val="0"/>
        <w:kinsoku/>
        <w:wordWrap/>
        <w:overflowPunct/>
        <w:topLinePunct w:val="0"/>
        <w:autoSpaceDE/>
        <w:autoSpaceDN/>
        <w:bidi w:val="0"/>
        <w:adjustRightInd/>
        <w:spacing w:line="560" w:lineRule="exact"/>
        <w:ind w:left="0" w:firstLine="0" w:firstLineChars="0"/>
        <w:jc w:val="both"/>
        <w:textAlignment w:val="auto"/>
        <w:rPr>
          <w:rFonts w:hint="eastAsia" w:ascii="仿宋_GB2312" w:hAnsi="仿宋_GB2312" w:eastAsia="仿宋_GB2312" w:cs="仿宋_GB2312"/>
          <w:bCs/>
          <w:kern w:val="1"/>
          <w:sz w:val="32"/>
          <w:szCs w:val="32"/>
        </w:rPr>
      </w:pPr>
    </w:p>
    <w:p>
      <w:pPr>
        <w:keepNext w:val="0"/>
        <w:keepLines w:val="0"/>
        <w:pageBreakBefore w:val="0"/>
        <w:widowControl w:val="0"/>
        <w:kinsoku/>
        <w:wordWrap/>
        <w:overflowPunct/>
        <w:topLinePunct w:val="0"/>
        <w:autoSpaceDE/>
        <w:autoSpaceDN/>
        <w:bidi w:val="0"/>
        <w:adjustRightInd/>
        <w:spacing w:line="560" w:lineRule="exact"/>
        <w:ind w:left="0" w:firstLine="0" w:firstLineChars="0"/>
        <w:jc w:val="both"/>
        <w:textAlignment w:val="auto"/>
        <w:rPr>
          <w:rFonts w:hint="eastAsia" w:ascii="仿宋_GB2312" w:hAnsi="仿宋_GB2312" w:eastAsia="仿宋_GB2312" w:cs="仿宋_GB2312"/>
          <w:bCs/>
          <w:sz w:val="32"/>
          <w:szCs w:val="32"/>
          <w:u w:val="none"/>
          <w:lang w:val="en-US" w:eastAsia="zh-CN"/>
        </w:rPr>
      </w:pPr>
      <w:r>
        <w:rPr>
          <w:rFonts w:hint="eastAsia" w:ascii="仿宋_GB2312" w:hAnsi="仿宋_GB2312" w:eastAsia="仿宋_GB2312" w:cs="仿宋_GB2312"/>
          <w:bCs/>
          <w:kern w:val="1"/>
          <w:sz w:val="32"/>
          <w:szCs w:val="32"/>
        </w:rPr>
        <w:t>当事人：</w:t>
      </w:r>
      <w:r>
        <w:rPr>
          <w:rFonts w:hint="eastAsia" w:ascii="仿宋_GB2312" w:hAnsi="仿宋_GB2312" w:eastAsia="仿宋_GB2312" w:cs="仿宋_GB2312"/>
          <w:bCs/>
          <w:sz w:val="32"/>
          <w:szCs w:val="32"/>
          <w:u w:val="none"/>
          <w:lang w:val="en-US" w:eastAsia="zh-CN"/>
        </w:rPr>
        <w:t>乌苏市每日客烘焙食品坊</w:t>
      </w:r>
    </w:p>
    <w:p>
      <w:pPr>
        <w:keepNext w:val="0"/>
        <w:keepLines w:val="0"/>
        <w:pageBreakBefore w:val="0"/>
        <w:widowControl w:val="0"/>
        <w:kinsoku/>
        <w:wordWrap/>
        <w:overflowPunct/>
        <w:topLinePunct w:val="0"/>
        <w:autoSpaceDE/>
        <w:autoSpaceDN/>
        <w:bidi w:val="0"/>
        <w:adjustRightInd/>
        <w:spacing w:line="560" w:lineRule="exact"/>
        <w:ind w:left="0" w:firstLine="0" w:firstLineChars="0"/>
        <w:jc w:val="both"/>
        <w:textAlignment w:val="auto"/>
        <w:rPr>
          <w:rFonts w:hint="eastAsia" w:ascii="仿宋_GB2312" w:hAnsi="仿宋_GB2312" w:eastAsia="仿宋_GB2312" w:cs="仿宋_GB2312"/>
          <w:kern w:val="1"/>
          <w:sz w:val="32"/>
          <w:szCs w:val="32"/>
          <w:u w:val="none"/>
          <w:lang w:val="en-US" w:eastAsia="zh-CN"/>
        </w:rPr>
      </w:pPr>
      <w:r>
        <w:rPr>
          <w:rFonts w:hint="eastAsia" w:ascii="仿宋_GB2312" w:hAnsi="仿宋_GB2312" w:eastAsia="仿宋_GB2312" w:cs="仿宋_GB2312"/>
          <w:bCs/>
          <w:kern w:val="1"/>
          <w:sz w:val="32"/>
          <w:szCs w:val="32"/>
        </w:rPr>
        <w:t>主体资格证照</w:t>
      </w:r>
      <w:r>
        <w:rPr>
          <w:rFonts w:hint="eastAsia" w:ascii="仿宋_GB2312" w:hAnsi="仿宋_GB2312" w:eastAsia="仿宋_GB2312" w:cs="仿宋_GB2312"/>
          <w:kern w:val="1"/>
          <w:sz w:val="32"/>
          <w:szCs w:val="32"/>
        </w:rPr>
        <w:t>名称：</w:t>
      </w:r>
      <w:r>
        <w:rPr>
          <w:rFonts w:hint="eastAsia" w:ascii="仿宋_GB2312" w:hAnsi="仿宋_GB2312" w:eastAsia="仿宋_GB2312" w:cs="仿宋_GB2312"/>
          <w:kern w:val="1"/>
          <w:sz w:val="32"/>
          <w:szCs w:val="32"/>
          <w:u w:val="none"/>
          <w:lang w:eastAsia="zh-CN"/>
        </w:rPr>
        <w:t>《营业执照》《</w:t>
      </w:r>
      <w:r>
        <w:rPr>
          <w:rFonts w:hint="eastAsia" w:ascii="仿宋_GB2312" w:hAnsi="仿宋_GB2312" w:eastAsia="仿宋_GB2312" w:cs="仿宋_GB2312"/>
          <w:kern w:val="1"/>
          <w:sz w:val="32"/>
          <w:szCs w:val="32"/>
          <w:u w:val="none"/>
          <w:lang w:val="en-US" w:eastAsia="zh-CN"/>
        </w:rPr>
        <w:t>食品经营登记证》</w:t>
      </w:r>
    </w:p>
    <w:p>
      <w:pPr>
        <w:keepNext w:val="0"/>
        <w:keepLines w:val="0"/>
        <w:pageBreakBefore w:val="0"/>
        <w:widowControl w:val="0"/>
        <w:kinsoku/>
        <w:wordWrap/>
        <w:overflowPunct/>
        <w:topLinePunct w:val="0"/>
        <w:autoSpaceDE/>
        <w:autoSpaceDN/>
        <w:bidi w:val="0"/>
        <w:adjustRightInd/>
        <w:spacing w:line="560" w:lineRule="exact"/>
        <w:ind w:left="0" w:firstLine="0" w:firstLineChars="0"/>
        <w:jc w:val="both"/>
        <w:textAlignment w:val="auto"/>
        <w:rPr>
          <w:rFonts w:hint="eastAsia" w:ascii="仿宋_GB2312" w:hAnsi="仿宋_GB2312" w:eastAsia="仿宋_GB2312" w:cs="仿宋_GB2312"/>
          <w:bCs/>
          <w:sz w:val="32"/>
          <w:szCs w:val="32"/>
          <w:u w:val="none"/>
          <w:lang w:val="en-US" w:eastAsia="zh-CN"/>
        </w:rPr>
      </w:pPr>
      <w:r>
        <w:rPr>
          <w:rFonts w:hint="eastAsia" w:ascii="仿宋_GB2312" w:hAnsi="仿宋_GB2312" w:eastAsia="仿宋_GB2312" w:cs="仿宋_GB2312"/>
          <w:kern w:val="1"/>
          <w:sz w:val="32"/>
          <w:szCs w:val="32"/>
        </w:rPr>
        <w:t>统一社会信用代码：</w:t>
      </w:r>
      <w:r>
        <w:rPr>
          <w:rFonts w:hint="eastAsia" w:ascii="仿宋_GB2312" w:hAnsi="仿宋_GB2312" w:eastAsia="仿宋_GB2312" w:cs="仿宋_GB2312"/>
          <w:bCs/>
          <w:sz w:val="32"/>
          <w:szCs w:val="32"/>
          <w:u w:val="none"/>
          <w:lang w:val="en-US" w:eastAsia="zh-CN"/>
        </w:rPr>
        <w:t>92654202MACQYPNB2E</w:t>
      </w:r>
    </w:p>
    <w:p>
      <w:pPr>
        <w:keepNext w:val="0"/>
        <w:keepLines w:val="0"/>
        <w:pageBreakBefore w:val="0"/>
        <w:widowControl w:val="0"/>
        <w:kinsoku/>
        <w:wordWrap/>
        <w:overflowPunct/>
        <w:topLinePunct w:val="0"/>
        <w:autoSpaceDE/>
        <w:autoSpaceDN/>
        <w:bidi w:val="0"/>
        <w:adjustRightInd/>
        <w:spacing w:line="560" w:lineRule="exact"/>
        <w:ind w:left="0" w:firstLine="0" w:firstLineChars="0"/>
        <w:jc w:val="both"/>
        <w:textAlignment w:val="auto"/>
        <w:rPr>
          <w:rFonts w:hint="eastAsia" w:ascii="仿宋_GB2312" w:hAnsi="仿宋_GB2312" w:eastAsia="仿宋_GB2312" w:cs="仿宋_GB2312"/>
          <w:bCs/>
          <w:sz w:val="32"/>
          <w:szCs w:val="32"/>
          <w:u w:val="none"/>
          <w:lang w:val="en-US" w:eastAsia="zh-CN"/>
        </w:rPr>
      </w:pPr>
      <w:r>
        <w:rPr>
          <w:rFonts w:hint="eastAsia" w:ascii="仿宋_GB2312" w:hAnsi="仿宋_GB2312" w:eastAsia="仿宋_GB2312" w:cs="仿宋_GB2312"/>
          <w:kern w:val="1"/>
          <w:sz w:val="32"/>
          <w:szCs w:val="32"/>
        </w:rPr>
        <w:t>住所（住址）：</w:t>
      </w:r>
      <w:r>
        <w:rPr>
          <w:rFonts w:hint="eastAsia" w:ascii="仿宋_GB2312" w:hAnsi="仿宋_GB2312" w:eastAsia="仿宋_GB2312" w:cs="仿宋_GB2312"/>
          <w:bCs/>
          <w:sz w:val="32"/>
          <w:szCs w:val="32"/>
          <w:u w:val="none"/>
          <w:lang w:val="en-US" w:eastAsia="zh-CN"/>
        </w:rPr>
        <w:t>新疆维吾尔自治区塔城地区乌苏市虹桥街道和平路社区孔雀河路</w:t>
      </w:r>
      <w:bookmarkStart w:id="3" w:name="_GoBack"/>
      <w:bookmarkEnd w:id="3"/>
      <w:r>
        <w:rPr>
          <w:rFonts w:hint="eastAsia" w:ascii="仿宋_GB2312" w:hAnsi="仿宋_GB2312" w:eastAsia="仿宋_GB2312" w:cs="仿宋_GB2312"/>
          <w:bCs/>
          <w:sz w:val="32"/>
          <w:szCs w:val="32"/>
          <w:u w:val="none"/>
          <w:lang w:val="en-US" w:eastAsia="zh-CN"/>
        </w:rPr>
        <w:t>（和平花园小区北门）</w:t>
      </w:r>
    </w:p>
    <w:p>
      <w:pPr>
        <w:keepNext w:val="0"/>
        <w:keepLines w:val="0"/>
        <w:pageBreakBefore w:val="0"/>
        <w:widowControl w:val="0"/>
        <w:kinsoku/>
        <w:wordWrap/>
        <w:overflowPunct/>
        <w:topLinePunct w:val="0"/>
        <w:autoSpaceDE/>
        <w:autoSpaceDN/>
        <w:bidi w:val="0"/>
        <w:adjustRightInd/>
        <w:spacing w:line="560" w:lineRule="exact"/>
        <w:ind w:left="0" w:firstLine="0" w:firstLineChars="0"/>
        <w:jc w:val="both"/>
        <w:textAlignment w:val="auto"/>
        <w:rPr>
          <w:rFonts w:hint="default" w:ascii="仿宋_GB2312" w:hAnsi="仿宋_GB2312" w:eastAsia="仿宋_GB2312" w:cs="仿宋_GB2312"/>
          <w:bCs/>
          <w:sz w:val="32"/>
          <w:szCs w:val="32"/>
          <w:u w:val="none"/>
          <w:lang w:val="en-US" w:eastAsia="zh-CN"/>
        </w:rPr>
      </w:pPr>
      <w:r>
        <w:rPr>
          <w:rFonts w:hint="eastAsia" w:ascii="仿宋_GB2312" w:hAnsi="仿宋_GB2312" w:eastAsia="仿宋_GB2312" w:cs="仿宋_GB2312"/>
          <w:kern w:val="1"/>
          <w:sz w:val="32"/>
          <w:szCs w:val="32"/>
          <w:lang w:eastAsia="zh-CN"/>
        </w:rPr>
        <w:t>经营者</w:t>
      </w:r>
      <w:r>
        <w:rPr>
          <w:rFonts w:hint="eastAsia" w:ascii="仿宋_GB2312" w:hAnsi="仿宋_GB2312" w:eastAsia="仿宋_GB2312" w:cs="仿宋_GB2312"/>
          <w:kern w:val="1"/>
          <w:sz w:val="32"/>
          <w:szCs w:val="32"/>
        </w:rPr>
        <w:t>：</w:t>
      </w:r>
      <w:r>
        <w:rPr>
          <w:rFonts w:hint="eastAsia" w:ascii="仿宋_GB2312" w:hAnsi="仿宋_GB2312" w:eastAsia="仿宋_GB2312" w:cs="仿宋_GB2312"/>
          <w:bCs/>
          <w:sz w:val="32"/>
          <w:szCs w:val="32"/>
          <w:u w:val="none"/>
          <w:lang w:val="en-US" w:eastAsia="zh-CN"/>
        </w:rPr>
        <w:t>古****</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Cs/>
          <w:sz w:val="32"/>
          <w:szCs w:val="32"/>
          <w:u w:val="none"/>
          <w:lang w:val="en-US" w:eastAsia="zh-CN"/>
        </w:rPr>
      </w:pPr>
      <w:r>
        <w:rPr>
          <w:rFonts w:hint="eastAsia" w:ascii="仿宋_GB2312" w:hAnsi="仿宋_GB2312" w:eastAsia="仿宋_GB2312" w:cs="仿宋_GB2312"/>
          <w:bCs/>
          <w:sz w:val="32"/>
          <w:szCs w:val="32"/>
          <w:u w:val="none"/>
          <w:lang w:val="en-US" w:eastAsia="zh-CN"/>
        </w:rPr>
        <w:t>2025年7月1日，在自治区市场监督管理局组织开展的食品安全监督抽检工作中，委托招商新疆质量检测技术研究有限公司对乌苏市每日客烘焙食品坊2025年6月30日制售的糕点巴哈利进行了食品安全监督抽检。2025年8月1日，我局收到招商新疆质量检测技术研究有限公司出具的编号为NO:2025X-J-SP11631的《检验报告》，检验结论为：“经抽样检验，铝的残留量项目不符合GB 2760-2014《食品安全国家标准食品添加剂使用标准》要求，检验结论为不合格”。我局执法人员于当日向乌苏市每日客烘焙食品坊送达了《检验报告》（编号为NO:2025X-J-SP11631）、《食品安全抽样检验结果通知书》和《食品安全抽样检验复验和异议须知》，当事人未提出异议并签字确认。执法人员对当事人经营场所进行了现场检查，发现该批次的巴哈利已销售完毕。当事人提供了该批次巴哈利加工原材料面粉、黄油、蜂蜜、蓝莓果酱等供货商资质、进货票据等相关证明文件。当事人的上述行为违反了《中华人民共和国食品安全法》第三十四条第四项，为进一步了解情况，经报局领导批准，于2025年8月4日立案，并指导李静、别尔克·革命江对此案进行调查了解。本案已于2025年8月22日调查终结。</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Cs/>
          <w:sz w:val="32"/>
          <w:szCs w:val="32"/>
          <w:u w:val="none"/>
          <w:lang w:val="en-US" w:eastAsia="zh-CN"/>
        </w:rPr>
      </w:pPr>
      <w:r>
        <w:rPr>
          <w:rFonts w:hint="eastAsia" w:ascii="仿宋_GB2312" w:hAnsi="仿宋_GB2312" w:eastAsia="仿宋_GB2312" w:cs="仿宋_GB2312"/>
          <w:bCs/>
          <w:sz w:val="32"/>
          <w:szCs w:val="32"/>
          <w:u w:val="none"/>
          <w:lang w:val="en-US" w:eastAsia="zh-CN"/>
        </w:rPr>
        <w:t>经调查，2025年6月30日乌苏市每日客烘焙食品坊加工制作糕点巴哈利6公斤，所使用的食品原材料比例为：</w:t>
      </w:r>
      <w:r>
        <w:rPr>
          <w:rFonts w:hint="eastAsia" w:ascii="仿宋_GB2312" w:hAnsi="仿宋_GB2312" w:eastAsia="仿宋_GB2312" w:cs="仿宋_GB2312"/>
          <w:b w:val="0"/>
          <w:bCs/>
          <w:color w:val="auto"/>
          <w:sz w:val="32"/>
          <w:szCs w:val="32"/>
          <w:u w:val="none"/>
          <w:lang w:val="en-US" w:eastAsia="zh-CN"/>
        </w:rPr>
        <w:t>面粉1400克</w:t>
      </w:r>
      <w:r>
        <w:rPr>
          <w:rFonts w:hint="eastAsia" w:ascii="仿宋_GB2312" w:hAnsi="仿宋_GB2312" w:eastAsia="仿宋_GB2312" w:cs="仿宋_GB2312"/>
          <w:b w:val="0"/>
          <w:bCs w:val="0"/>
          <w:color w:val="auto"/>
          <w:sz w:val="32"/>
          <w:szCs w:val="32"/>
          <w:u w:val="none"/>
          <w:lang w:val="en-US" w:eastAsia="zh-CN"/>
        </w:rPr>
        <w:t>、鸡蛋18个、蜂蜜1000克、小苏打15克、泡打粉20克、核桃仁400克、葡萄干400克、牛奶500克、食用植物油700克，于当日在店内以30元/公斤的价格销售3公斤。</w:t>
      </w:r>
      <w:r>
        <w:rPr>
          <w:rFonts w:hint="eastAsia" w:ascii="仿宋_GB2312" w:hAnsi="仿宋_GB2312" w:eastAsia="仿宋_GB2312" w:cs="仿宋_GB2312"/>
          <w:bCs/>
          <w:sz w:val="32"/>
          <w:szCs w:val="32"/>
          <w:u w:val="none"/>
          <w:lang w:val="en-US" w:eastAsia="zh-CN"/>
        </w:rPr>
        <w:t>2025年7月1日，新疆维吾尔自治区市场监督管理局委托招商新疆质量检测技术研究有限公司对乌苏市每日客烘焙食品坊制售的该批巴哈利进行了监督抽检，抽样数量：2公斤，备样数量1公斤。2025年8月1日，我局接到该批巴哈利的检验报告，检验结论为不合格。我局执法人员于当日向当事人送达了《检验报告》（编号为NO:2025X-J-SP11631）、《食品安全抽样检验结果通知书》和《食品安全抽样检验复验和异议须知》，当事人不要求复检并签字接收，当事人提供了制作该批巴哈利食品原料的供货商的资质和进货票据，经执法人员现场检查发现该批巴哈利已销售完毕，2025年6月30日，当事人在店内以30元/公斤的价格销售了3公斤，于7月1日通过美团外卖平台以30元/公斤销售了2公斤，赠送1公斤，共计3公斤。该批巴哈利货值金额为180元，30元/公斤×6公斤=180元，违法所得为150元（30元/公斤×5公斤=150元）。当事人在现场、询问笔录上签字确认，未提出异议。</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Cs/>
          <w:sz w:val="32"/>
          <w:szCs w:val="32"/>
          <w:u w:val="none"/>
          <w:lang w:val="en-US" w:eastAsia="zh-CN"/>
        </w:rPr>
      </w:pPr>
      <w:r>
        <w:rPr>
          <w:rFonts w:hint="eastAsia" w:ascii="仿宋_GB2312" w:hAnsi="仿宋_GB2312" w:eastAsia="仿宋_GB2312" w:cs="仿宋_GB2312"/>
          <w:bCs/>
          <w:sz w:val="32"/>
          <w:szCs w:val="32"/>
          <w:u w:val="none"/>
          <w:lang w:val="en-US" w:eastAsia="zh-CN"/>
        </w:rPr>
        <w:t>上述事实，主要有以下证据证明：</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Cs/>
          <w:sz w:val="32"/>
          <w:szCs w:val="32"/>
          <w:u w:val="none"/>
          <w:lang w:val="en-US" w:eastAsia="zh-CN"/>
        </w:rPr>
      </w:pPr>
      <w:r>
        <w:rPr>
          <w:rFonts w:hint="eastAsia" w:ascii="仿宋_GB2312" w:hAnsi="仿宋_GB2312" w:eastAsia="仿宋_GB2312" w:cs="仿宋_GB2312"/>
          <w:bCs/>
          <w:sz w:val="32"/>
          <w:szCs w:val="32"/>
          <w:u w:val="none"/>
          <w:lang w:val="en-US" w:eastAsia="zh-CN"/>
        </w:rPr>
        <w:t>1.当事人《营业执照》《食品经营登记证》复印件各1份，证明当事人经营主体资格和经营范围；</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Cs/>
          <w:sz w:val="32"/>
          <w:szCs w:val="32"/>
          <w:u w:val="none"/>
          <w:lang w:val="en-US" w:eastAsia="zh-CN"/>
        </w:rPr>
      </w:pPr>
      <w:r>
        <w:rPr>
          <w:rFonts w:hint="eastAsia" w:ascii="仿宋_GB2312" w:hAnsi="仿宋_GB2312" w:eastAsia="仿宋_GB2312" w:cs="仿宋_GB2312"/>
          <w:bCs/>
          <w:sz w:val="32"/>
          <w:szCs w:val="32"/>
          <w:u w:val="none"/>
          <w:lang w:val="en-US" w:eastAsia="zh-CN"/>
        </w:rPr>
        <w:t>2.当事人古****身份证复印件1份，证明当事人身份信息与营业执照核准的信息相符；</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Cs/>
          <w:sz w:val="32"/>
          <w:szCs w:val="32"/>
          <w:u w:val="none"/>
          <w:lang w:val="en-US" w:eastAsia="zh-CN"/>
        </w:rPr>
      </w:pPr>
      <w:r>
        <w:rPr>
          <w:rFonts w:hint="eastAsia" w:ascii="仿宋_GB2312" w:hAnsi="仿宋_GB2312" w:eastAsia="仿宋_GB2312" w:cs="仿宋_GB2312"/>
          <w:bCs/>
          <w:sz w:val="32"/>
          <w:szCs w:val="32"/>
          <w:u w:val="none"/>
          <w:lang w:val="en-US" w:eastAsia="zh-CN"/>
        </w:rPr>
        <w:t>3.招商新疆质量检测技术研究有限公司出具的编号为NO：（编号为NO:2025X-J-SP11631）、《食品安全抽样检验结果通知书》和《食品安全抽样检验复验和异议须知》各1份，证明当事人制售的巴哈利经抽样检验不符合食品安全国家标准要求，检验结论为不合格的事实；</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Cs/>
          <w:sz w:val="32"/>
          <w:szCs w:val="32"/>
          <w:u w:val="none"/>
          <w:lang w:val="en-US" w:eastAsia="zh-CN"/>
        </w:rPr>
      </w:pPr>
      <w:r>
        <w:rPr>
          <w:rFonts w:hint="eastAsia" w:ascii="仿宋_GB2312" w:hAnsi="仿宋_GB2312" w:eastAsia="仿宋_GB2312" w:cs="仿宋_GB2312"/>
          <w:bCs/>
          <w:sz w:val="32"/>
          <w:szCs w:val="32"/>
          <w:u w:val="none"/>
          <w:lang w:val="en-US" w:eastAsia="zh-CN"/>
        </w:rPr>
        <w:t>4.现场笔录1份，证明执法人员2025年8月1日向当事人现场送达该批巴哈利的检验报告，并对当事人经营场所现场检查发现该批巴哈利已销售完毕的事实；</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Cs/>
          <w:sz w:val="32"/>
          <w:szCs w:val="32"/>
          <w:u w:val="none"/>
          <w:lang w:val="en-US" w:eastAsia="zh-CN"/>
        </w:rPr>
      </w:pPr>
      <w:r>
        <w:rPr>
          <w:rFonts w:hint="eastAsia" w:ascii="仿宋_GB2312" w:hAnsi="仿宋_GB2312" w:eastAsia="仿宋_GB2312" w:cs="仿宋_GB2312"/>
          <w:bCs/>
          <w:sz w:val="32"/>
          <w:szCs w:val="32"/>
          <w:u w:val="none"/>
          <w:lang w:val="en-US" w:eastAsia="zh-CN"/>
        </w:rPr>
        <w:t>5.涉案批次巴哈利食品原材料供货商资质、票据复印件各1份，由当事人提供，证明供货商经营主体资格及经营范围和当事人履行进货查验和索证索票义务的事实；</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Cs/>
          <w:sz w:val="32"/>
          <w:szCs w:val="32"/>
          <w:u w:val="none"/>
          <w:lang w:val="en-US" w:eastAsia="zh-CN"/>
        </w:rPr>
      </w:pPr>
      <w:r>
        <w:rPr>
          <w:rFonts w:hint="eastAsia" w:ascii="仿宋_GB2312" w:hAnsi="仿宋_GB2312" w:eastAsia="仿宋_GB2312" w:cs="仿宋_GB2312"/>
          <w:bCs/>
          <w:sz w:val="32"/>
          <w:szCs w:val="32"/>
          <w:u w:val="none"/>
          <w:lang w:val="en-US" w:eastAsia="zh-CN"/>
        </w:rPr>
        <w:t>6.询问笔录1份，证明当事人制售超限量使用食品添加剂的巴哈利的时间、数量、销售价格的事实及当事人对抽检过</w:t>
      </w:r>
      <w:r>
        <w:rPr>
          <w:rFonts w:hint="eastAsia" w:ascii="仿宋_GB2312" w:hAnsi="仿宋_GB2312" w:eastAsia="仿宋_GB2312" w:cs="仿宋_GB2312"/>
          <w:sz w:val="32"/>
          <w:szCs w:val="32"/>
          <w:u w:val="none" w:color="auto"/>
        </w:rPr>
        <w:t>程的确认和当事人对检验报告认可的事实</w:t>
      </w:r>
      <w:r>
        <w:rPr>
          <w:rFonts w:hint="eastAsia" w:ascii="仿宋_GB2312" w:hAnsi="仿宋_GB2312" w:eastAsia="仿宋_GB2312" w:cs="仿宋_GB2312"/>
          <w:sz w:val="32"/>
          <w:szCs w:val="32"/>
          <w:u w:val="none" w:color="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Cs/>
          <w:sz w:val="32"/>
          <w:szCs w:val="32"/>
          <w:u w:val="none"/>
          <w:lang w:val="en-US" w:eastAsia="zh-CN"/>
        </w:rPr>
      </w:pPr>
      <w:r>
        <w:rPr>
          <w:rFonts w:hint="eastAsia" w:ascii="仿宋_GB2312" w:hAnsi="仿宋_GB2312" w:eastAsia="仿宋_GB2312" w:cs="仿宋_GB2312"/>
          <w:bCs/>
          <w:sz w:val="32"/>
          <w:szCs w:val="32"/>
          <w:u w:val="none"/>
          <w:lang w:val="en-US" w:eastAsia="zh-CN"/>
        </w:rPr>
        <w:t>7.现场检查拍摄的照片2张，音像视频资料1份，证明2025年8月1日执法人员对当事人经营的食品坊进行现场检查并送达检验报告，当事人未提出异议并签收的事实；</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Cs/>
          <w:sz w:val="32"/>
          <w:szCs w:val="32"/>
          <w:u w:val="none"/>
          <w:lang w:val="en-US" w:eastAsia="zh-CN"/>
        </w:rPr>
      </w:pPr>
      <w:r>
        <w:rPr>
          <w:rFonts w:hint="eastAsia" w:ascii="仿宋_GB2312" w:hAnsi="仿宋_GB2312" w:eastAsia="仿宋_GB2312" w:cs="仿宋_GB2312"/>
          <w:bCs/>
          <w:sz w:val="32"/>
          <w:szCs w:val="32"/>
          <w:u w:val="none"/>
          <w:lang w:val="en-US" w:eastAsia="zh-CN"/>
        </w:rPr>
        <w:t>8.提取的美团外卖销售证据照片6张，证明自治区市场监督管理局通过美团抽样的过程。</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以上证据材料均由当事人</w:t>
      </w:r>
      <w:r>
        <w:rPr>
          <w:rFonts w:hint="eastAsia" w:ascii="仿宋_GB2312" w:hAnsi="仿宋_GB2312" w:eastAsia="仿宋_GB2312" w:cs="仿宋_GB2312"/>
          <w:bCs/>
          <w:sz w:val="32"/>
          <w:szCs w:val="32"/>
          <w:u w:val="none"/>
          <w:lang w:val="en-US" w:eastAsia="zh-CN"/>
        </w:rPr>
        <w:t>古****核对</w:t>
      </w:r>
      <w:r>
        <w:rPr>
          <w:rFonts w:hint="eastAsia" w:ascii="仿宋_GB2312" w:hAnsi="仿宋_GB2312" w:eastAsia="仿宋_GB2312" w:cs="仿宋_GB2312"/>
          <w:color w:val="000000"/>
          <w:sz w:val="32"/>
          <w:szCs w:val="32"/>
          <w:u w:val="none" w:color="auto"/>
          <w:lang w:val="en-US" w:eastAsia="zh-CN"/>
        </w:rPr>
        <w:t>无误，并签字确认。</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Cs/>
          <w:sz w:val="32"/>
          <w:szCs w:val="32"/>
          <w:u w:val="none"/>
          <w:lang w:val="en-US" w:eastAsia="zh-CN"/>
        </w:rPr>
      </w:pPr>
      <w:r>
        <w:rPr>
          <w:rFonts w:hint="eastAsia" w:ascii="仿宋_GB2312" w:hAnsi="仿宋_GB2312" w:eastAsia="仿宋_GB2312" w:cs="仿宋_GB2312"/>
          <w:bCs/>
          <w:sz w:val="32"/>
          <w:szCs w:val="32"/>
          <w:u w:val="none"/>
          <w:lang w:val="en-US" w:eastAsia="zh-CN"/>
        </w:rPr>
        <w:t>我局于2025年9月16日依法向当事人送达了《行政处罚告知书》（塔乌市监罚告〔2025〕224号），告知了当事人依法享有陈述、申辩的权利，当事人在法定期限内未提出陈述、申辩，视为放弃此权利。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u w:val="none"/>
          <w:lang w:val="en-US" w:eastAsia="zh-CN"/>
        </w:rPr>
      </w:pPr>
      <w:r>
        <w:rPr>
          <w:rFonts w:hint="eastAsia" w:ascii="仿宋_GB2312" w:hAnsi="仿宋_GB2312" w:eastAsia="仿宋_GB2312" w:cs="仿宋_GB2312"/>
          <w:bCs/>
          <w:sz w:val="32"/>
          <w:szCs w:val="32"/>
          <w:u w:val="none"/>
          <w:lang w:val="en-US" w:eastAsia="zh-CN"/>
        </w:rPr>
        <w:t>当事人</w:t>
      </w:r>
      <w:r>
        <w:rPr>
          <w:rFonts w:hint="eastAsia" w:ascii="仿宋_GB2312" w:hAnsi="仿宋_GB2312" w:eastAsia="仿宋_GB2312" w:cs="仿宋_GB2312"/>
          <w:sz w:val="32"/>
          <w:szCs w:val="32"/>
          <w:u w:val="none" w:color="auto"/>
          <w:lang w:val="en-US" w:eastAsia="zh-CN"/>
        </w:rPr>
        <w:t>制售</w:t>
      </w:r>
      <w:r>
        <w:rPr>
          <w:rFonts w:hint="eastAsia" w:ascii="仿宋_GB2312" w:hAnsi="仿宋_GB2312" w:eastAsia="仿宋_GB2312" w:cs="仿宋_GB2312"/>
          <w:sz w:val="32"/>
          <w:szCs w:val="32"/>
          <w:u w:val="none" w:color="auto"/>
          <w:lang w:eastAsia="zh-CN"/>
        </w:rPr>
        <w:t>超限量使用食品添加剂</w:t>
      </w:r>
      <w:r>
        <w:rPr>
          <w:rFonts w:hint="eastAsia" w:ascii="仿宋_GB2312" w:hAnsi="仿宋_GB2312" w:eastAsia="仿宋_GB2312" w:cs="仿宋_GB2312"/>
          <w:sz w:val="32"/>
          <w:szCs w:val="32"/>
          <w:u w:val="none" w:color="auto"/>
          <w:lang w:val="en-US" w:eastAsia="zh-CN"/>
        </w:rPr>
        <w:t>巴哈利</w:t>
      </w:r>
      <w:r>
        <w:rPr>
          <w:rFonts w:hint="eastAsia" w:ascii="仿宋_GB2312" w:hAnsi="仿宋_GB2312" w:eastAsia="仿宋_GB2312" w:cs="仿宋_GB2312"/>
          <w:bCs/>
          <w:sz w:val="32"/>
          <w:szCs w:val="32"/>
          <w:u w:val="none"/>
          <w:lang w:val="en-US" w:eastAsia="zh-CN"/>
        </w:rPr>
        <w:t>的行为，违反了《中华人民共和国食品安全法》第三十四条第四项：“禁止生产经营下列食品、食品添加剂、食品相关产品：（四）超范围、超限量使用食品添加剂的食品；”的规定，属于违法行为。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u w:val="none"/>
          <w:lang w:val="en-US" w:eastAsia="zh-CN"/>
        </w:rPr>
        <w:t>鉴于当事人系初次违法，在案件办理过程中态度端正，对自身的违法行为有深刻的认识，主动开展自查整改，能够积极主动配合市场监督管理部门的调查，如实陈述违法事实并主动提供证据材料，并承诺在今后经营过程中守法经营。</w:t>
      </w:r>
      <w:r>
        <w:rPr>
          <w:rFonts w:hint="eastAsia" w:ascii="仿宋_GB2312" w:hAnsi="仿宋_GB2312" w:eastAsia="仿宋_GB2312" w:cs="仿宋_GB2312"/>
          <w:bCs/>
          <w:sz w:val="32"/>
          <w:szCs w:val="32"/>
          <w:lang w:val="en-US" w:eastAsia="zh-CN"/>
        </w:rPr>
        <w:t>当事人的上述情况符合《新疆维吾尔自治区新疆生产建设兵团市场监督管理行政处罚裁量权适用规定》第十七条第二项：“有下列情形之一的，可以依法从轻或者减轻行政处罚：（二）积极配合市场监管部门调查并主动提供证据材料的；”所规定的情形，综合考虑个案情况、当事人主客观情况等相关因素，决定给予当事人减轻行政处罚。</w:t>
      </w:r>
    </w:p>
    <w:p>
      <w:pPr>
        <w:keepNext w:val="0"/>
        <w:keepLines w:val="0"/>
        <w:pageBreakBefore w:val="0"/>
        <w:widowControl w:val="0"/>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1"/>
          <w:sz w:val="32"/>
          <w:szCs w:val="32"/>
        </w:rPr>
        <w:t>依据《中华人民共和国食品安全法》</w:t>
      </w:r>
      <w:r>
        <w:rPr>
          <w:rFonts w:hint="eastAsia" w:ascii="仿宋_GB2312" w:hAnsi="仿宋_GB2312" w:eastAsia="仿宋_GB2312" w:cs="仿宋_GB2312"/>
          <w:sz w:val="32"/>
          <w:szCs w:val="32"/>
        </w:rPr>
        <w:t>第一百二十四条第一款</w:t>
      </w:r>
      <w:r>
        <w:rPr>
          <w:rFonts w:hint="eastAsia" w:ascii="仿宋_GB2312" w:hAnsi="仿宋_GB2312" w:eastAsia="仿宋_GB2312" w:cs="仿宋_GB2312"/>
          <w:sz w:val="32"/>
          <w:szCs w:val="32"/>
          <w:lang w:eastAsia="zh-CN"/>
        </w:rPr>
        <w:t>第三项</w:t>
      </w:r>
      <w:r>
        <w:rPr>
          <w:rFonts w:hint="eastAsia" w:ascii="仿宋_GB2312" w:hAnsi="仿宋_GB2312" w:eastAsia="仿宋_GB2312" w:cs="仿宋_GB2312"/>
          <w:sz w:val="32"/>
          <w:szCs w:val="32"/>
        </w:rPr>
        <w:t>“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）生产经营</w:t>
      </w:r>
      <w:r>
        <w:rPr>
          <w:rFonts w:hint="eastAsia" w:ascii="仿宋_GB2312" w:hAnsi="仿宋_GB2312" w:eastAsia="仿宋_GB2312" w:cs="仿宋_GB2312"/>
          <w:sz w:val="32"/>
          <w:szCs w:val="32"/>
          <w:lang w:eastAsia="zh-CN"/>
        </w:rPr>
        <w:t>超范围、超限量使用</w:t>
      </w:r>
      <w:r>
        <w:rPr>
          <w:rFonts w:hint="eastAsia" w:ascii="仿宋_GB2312" w:hAnsi="仿宋_GB2312" w:eastAsia="仿宋_GB2312" w:cs="仿宋_GB2312"/>
          <w:sz w:val="32"/>
          <w:szCs w:val="32"/>
        </w:rPr>
        <w:t>食品添加剂；”</w:t>
      </w:r>
      <w:r>
        <w:rPr>
          <w:rFonts w:hint="eastAsia" w:ascii="仿宋_GB2312" w:hAnsi="仿宋_GB2312" w:eastAsia="仿宋_GB2312" w:cs="仿宋_GB2312"/>
          <w:sz w:val="32"/>
          <w:szCs w:val="32"/>
          <w:lang w:eastAsia="zh-CN"/>
        </w:rPr>
        <w:t>的规定，</w:t>
      </w:r>
      <w:r>
        <w:rPr>
          <w:rFonts w:hint="eastAsia" w:ascii="仿宋_GB2312" w:hAnsi="仿宋_GB2312" w:eastAsia="仿宋_GB2312" w:cs="仿宋_GB2312"/>
          <w:sz w:val="32"/>
          <w:szCs w:val="32"/>
        </w:rPr>
        <w:t>责令当事人改正违法经营行为，</w:t>
      </w:r>
      <w:r>
        <w:rPr>
          <w:rFonts w:hint="eastAsia" w:ascii="仿宋_GB2312" w:hAnsi="仿宋_GB2312" w:eastAsia="仿宋_GB2312" w:cs="仿宋_GB2312"/>
          <w:sz w:val="32"/>
          <w:szCs w:val="32"/>
          <w:lang w:eastAsia="zh-CN"/>
        </w:rPr>
        <w:t>决定</w:t>
      </w:r>
      <w:r>
        <w:rPr>
          <w:rFonts w:hint="eastAsia" w:ascii="仿宋_GB2312" w:hAnsi="仿宋_GB2312" w:eastAsia="仿宋_GB2312" w:cs="仿宋_GB2312"/>
          <w:kern w:val="0"/>
          <w:sz w:val="32"/>
          <w:szCs w:val="32"/>
          <w:lang w:val="en-US" w:eastAsia="zh-CN" w:bidi="ar-SA"/>
        </w:rPr>
        <w:t>对当事人处罚如下：</w:t>
      </w:r>
    </w:p>
    <w:p>
      <w:pPr>
        <w:keepNext w:val="0"/>
        <w:keepLines w:val="0"/>
        <w:pageBreakBefore w:val="0"/>
        <w:widowControl w:val="0"/>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1、没收违法所得150元；</w:t>
      </w:r>
    </w:p>
    <w:p>
      <w:pPr>
        <w:keepNext w:val="0"/>
        <w:keepLines w:val="0"/>
        <w:pageBreakBefore w:val="0"/>
        <w:widowControl w:val="0"/>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2.处2000元罚款。</w:t>
      </w:r>
    </w:p>
    <w:p>
      <w:pPr>
        <w:keepNext w:val="0"/>
        <w:keepLines w:val="0"/>
        <w:pageBreakBefore w:val="0"/>
        <w:widowControl w:val="0"/>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罚没款共计2150元。</w:t>
      </w:r>
    </w:p>
    <w:p>
      <w:pPr>
        <w:keepNext w:val="0"/>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乌苏市人民法院强制执行。</w:t>
      </w:r>
    </w:p>
    <w:p>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如当事人不服本行政处罚决定，可以在收到本行政处罚决定书之日起六十日内向乌苏市人民政府（地址：乌苏市新市区长江路139号财政大楼三楼行政复议办公室）申请行政复议；也可以在六个月内依法向乌苏市人民法院（地址：乌苏市新市区长江路140号）提起行政诉讼。申请行政复议或者提起行政诉讼期间，行政处罚不停止执行。</w:t>
      </w:r>
    </w:p>
    <w:p>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4160" w:firstLineChars="13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乌苏市市场监督管理局</w:t>
      </w:r>
    </w:p>
    <w:p>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2025年9月25日</w:t>
      </w:r>
    </w:p>
    <w:p>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eastAsia" w:ascii="仿宋_GB2312" w:hAnsi="Times New Roman" w:eastAsia="仿宋_GB2312" w:cs="仿宋"/>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eastAsia" w:ascii="仿宋_GB2312" w:hAnsi="Times New Roman" w:eastAsia="仿宋_GB2312" w:cs="仿宋"/>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eastAsia" w:ascii="仿宋_GB2312" w:hAnsi="Times New Roman" w:eastAsia="仿宋_GB2312" w:cs="仿宋"/>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eastAsia" w:ascii="仿宋_GB2312" w:hAnsi="Times New Roman" w:eastAsia="仿宋_GB2312" w:cs="仿宋"/>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eastAsia" w:ascii="仿宋_GB2312" w:hAnsi="Times New Roman" w:eastAsia="仿宋_GB2312" w:cs="仿宋"/>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eastAsia" w:ascii="仿宋_GB2312" w:hAnsi="Times New Roman" w:eastAsia="仿宋_GB2312" w:cs="仿宋"/>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eastAsia" w:ascii="仿宋_GB2312" w:hAnsi="Times New Roman" w:eastAsia="仿宋_GB2312" w:cs="仿宋"/>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eastAsia" w:ascii="仿宋_GB2312" w:hAnsi="Times New Roman" w:eastAsia="仿宋_GB2312" w:cs="仿宋"/>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eastAsia" w:ascii="仿宋_GB2312" w:hAnsi="Times New Roman" w:eastAsia="仿宋_GB2312" w:cs="仿宋"/>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eastAsia" w:ascii="仿宋_GB2312" w:hAnsi="Times New Roman" w:eastAsia="仿宋_GB2312" w:cs="仿宋"/>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eastAsia" w:ascii="仿宋_GB2312" w:hAnsi="Times New Roman" w:eastAsia="仿宋_GB2312" w:cs="仿宋"/>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eastAsia" w:ascii="仿宋_GB2312" w:hAnsi="Times New Roman" w:eastAsia="仿宋_GB2312" w:cs="仿宋"/>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eastAsia" w:ascii="仿宋_GB2312" w:hAnsi="Times New Roman" w:eastAsia="仿宋_GB2312" w:cs="仿宋"/>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eastAsia" w:ascii="仿宋_GB2312" w:hAnsi="Times New Roman" w:eastAsia="仿宋_GB2312" w:cs="仿宋"/>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eastAsia" w:ascii="仿宋_GB2312" w:hAnsi="Times New Roman" w:eastAsia="仿宋_GB2312" w:cs="仿宋"/>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eastAsia" w:ascii="仿宋_GB2312" w:hAnsi="Times New Roman" w:eastAsia="仿宋_GB2312" w:cs="仿宋"/>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ascii="仿宋_GB2312" w:hAnsi="仿宋_GB2312" w:eastAsia="仿宋_GB2312" w:cs="仿宋_GB2312"/>
          <w:sz w:val="32"/>
        </w:rPr>
      </w:pPr>
      <w:r>
        <w:rPr>
          <w:rFonts w:hint="eastAsia" w:ascii="黑体" w:hAnsi="黑体" w:eastAsia="黑体" w:cs="黑体"/>
          <w:sz w:val="32"/>
        </w:rPr>
        <w:t>（市场监督管理部门将依法向社会公开行政处罚决定信息）</w:t>
      </w:r>
      <w:r>
        <w:rPr>
          <w:rFonts w:hint="eastAsia" w:ascii="仿宋_GB2312" w:hAnsi="仿宋_GB2312" w:eastAsia="仿宋_GB2312" w:cs="仿宋_GB2312"/>
          <w:sz w:val="32"/>
        </w:rPr>
        <mc:AlternateContent>
          <mc:Choice Requires="wps">
            <w:drawing>
              <wp:anchor distT="0" distB="0" distL="114300" distR="114300" simplePos="0" relativeHeight="251661312" behindDoc="0" locked="0" layoutInCell="1" allowOverlap="1">
                <wp:simplePos x="0" y="0"/>
                <wp:positionH relativeFrom="column">
                  <wp:posOffset>-132715</wp:posOffset>
                </wp:positionH>
                <wp:positionV relativeFrom="paragraph">
                  <wp:posOffset>343535</wp:posOffset>
                </wp:positionV>
                <wp:extent cx="5550535" cy="635"/>
                <wp:effectExtent l="0" t="7620" r="12065" b="14605"/>
                <wp:wrapNone/>
                <wp:docPr id="2" name="直接连接符 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0.45pt;margin-top:27.05pt;height:0.05pt;width:437.05pt;z-index:251661312;mso-width-relative:page;mso-height-relative:page;" filled="f" stroked="t" coordsize="21600,21600" o:gfxdata="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GI1tTZAAAACQEAAA8AAAAAAAAAAQAgAAAAIgAAAGRycy9kb3ducmV2LnhtbFBLAQIUABQAAAAI&#10;AIdO4kCskskk7AEAANsDAAAOAAAAAAAAAAEAIAAAACgBAABkcnMvZTJvRG9jLnhtbFBLBQYAAAAA&#10;BgAGAFkBAACGBQAAAAA=&#10;">
                <v:fill on="f" focussize="0,0"/>
                <v:stroke weight="1.25pt"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pacing w:line="560" w:lineRule="exact"/>
        <w:ind w:firstLine="0" w:firstLineChars="0"/>
        <w:jc w:val="center"/>
        <w:textAlignment w:val="auto"/>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2pt;margin-top:1650.35pt;height:0.1pt;width:453.75pt;z-index:251662336;mso-width-relative:page;mso-height-relative:page;" filled="f" stroked="t" coordsize="21600,21600" o:gfxdata="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K6sPHZAAAADAEAAA8AAAAAAAAAAQAgAAAAIgAAAGRycy9kb3ducmV2LnhtbFBL&#10;AQIUABQAAAAIAIdO4kAzT34Z9QEAAOcDAAAOAAAAAAAAAAEAIAAAACgBAABkcnMvZTJvRG9jLnht&#10;bFBLBQYAAAAABgAGAFkBAACPBQ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u w:val="single"/>
          <w:lang w:eastAsia="zh-CN"/>
        </w:rPr>
        <w:t>四</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u w:val="single"/>
        </w:rPr>
        <w:t>一</w:t>
      </w:r>
      <w:r>
        <w:rPr>
          <w:rFonts w:hint="eastAsia" w:ascii="仿宋_GB2312" w:hAnsi="仿宋_GB2312" w:eastAsia="仿宋_GB2312" w:cs="仿宋_GB2312"/>
          <w:color w:val="000000"/>
          <w:sz w:val="32"/>
          <w:szCs w:val="32"/>
        </w:rPr>
        <w:t>份送达，</w:t>
      </w:r>
      <w:r>
        <w:rPr>
          <w:rFonts w:hint="eastAsia" w:ascii="仿宋_GB2312" w:hAnsi="仿宋_GB2312" w:eastAsia="仿宋_GB2312" w:cs="仿宋_GB2312"/>
          <w:color w:val="000000"/>
          <w:sz w:val="32"/>
          <w:szCs w:val="32"/>
          <w:u w:val="single"/>
          <w:lang w:eastAsia="zh-CN"/>
        </w:rPr>
        <w:t>三</w:t>
      </w:r>
      <w:r>
        <w:rPr>
          <w:rFonts w:hint="eastAsia" w:ascii="仿宋_GB2312" w:hAnsi="仿宋_GB2312" w:eastAsia="仿宋_GB2312" w:cs="仿宋_GB2312"/>
          <w:color w:val="000000"/>
          <w:sz w:val="32"/>
          <w:szCs w:val="32"/>
        </w:rPr>
        <w:t>份归档。</w: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zkdcAAAAKAQAADwAAAAAAAAABACAAAAAiAAAAZHJzL2Rvd25yZXYueG1sUEsBAhQAFAAA&#10;AAgAh07iQN2BzWfwAQAA2QMAAA4AAAAAAAAAAQAgAAAAJgEAAGRycy9lMm9Eb2MueG1sUEsFBgAA&#10;AAAGAAYAWQEAAIgFAAAAAA==&#10;">
                <v:fill on="f" focussize="0,0"/>
                <v:stroke weight="0.737007874015748pt" color="#000000" joinstyle="round" endcap="square"/>
                <v:imagedata o:title=""/>
                <o:lock v:ext="edit" aspectratio="f"/>
              </v:lin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19C8581D"/>
    <w:rsid w:val="08641CE0"/>
    <w:rsid w:val="095F13EB"/>
    <w:rsid w:val="0A3A6CC8"/>
    <w:rsid w:val="106D2640"/>
    <w:rsid w:val="129B41D2"/>
    <w:rsid w:val="15602773"/>
    <w:rsid w:val="16982E28"/>
    <w:rsid w:val="17DC1C14"/>
    <w:rsid w:val="19C8581D"/>
    <w:rsid w:val="1A497C7A"/>
    <w:rsid w:val="1B246155"/>
    <w:rsid w:val="1CEC491F"/>
    <w:rsid w:val="218D24D1"/>
    <w:rsid w:val="221C6E98"/>
    <w:rsid w:val="22DB4AB1"/>
    <w:rsid w:val="23A737DF"/>
    <w:rsid w:val="23F57F1A"/>
    <w:rsid w:val="24D62278"/>
    <w:rsid w:val="255A7C75"/>
    <w:rsid w:val="25900E86"/>
    <w:rsid w:val="25DF68C1"/>
    <w:rsid w:val="28065372"/>
    <w:rsid w:val="2A7F3617"/>
    <w:rsid w:val="2AD435AE"/>
    <w:rsid w:val="2BF36CDA"/>
    <w:rsid w:val="2C4F03A3"/>
    <w:rsid w:val="2CAE1BBE"/>
    <w:rsid w:val="2E756E38"/>
    <w:rsid w:val="304E05F4"/>
    <w:rsid w:val="328C375C"/>
    <w:rsid w:val="345627EC"/>
    <w:rsid w:val="3518790F"/>
    <w:rsid w:val="37063707"/>
    <w:rsid w:val="38EE1678"/>
    <w:rsid w:val="39233E8E"/>
    <w:rsid w:val="3A160B6C"/>
    <w:rsid w:val="3C7A4CE7"/>
    <w:rsid w:val="3D2A52F6"/>
    <w:rsid w:val="3DAD2131"/>
    <w:rsid w:val="3FE660E3"/>
    <w:rsid w:val="40CA5935"/>
    <w:rsid w:val="41D62664"/>
    <w:rsid w:val="425F0D40"/>
    <w:rsid w:val="45EE2A2B"/>
    <w:rsid w:val="462211FB"/>
    <w:rsid w:val="47CD78CC"/>
    <w:rsid w:val="48561FB3"/>
    <w:rsid w:val="491E3A83"/>
    <w:rsid w:val="4C5E6D05"/>
    <w:rsid w:val="50D25372"/>
    <w:rsid w:val="516552F0"/>
    <w:rsid w:val="53C14E88"/>
    <w:rsid w:val="53DD2C05"/>
    <w:rsid w:val="555B2034"/>
    <w:rsid w:val="56CD0D0F"/>
    <w:rsid w:val="582A6990"/>
    <w:rsid w:val="5AA73056"/>
    <w:rsid w:val="5CB96CD1"/>
    <w:rsid w:val="5E0E283C"/>
    <w:rsid w:val="5E571F4A"/>
    <w:rsid w:val="5FD749AD"/>
    <w:rsid w:val="61A442BC"/>
    <w:rsid w:val="67F912FF"/>
    <w:rsid w:val="6AC75DBF"/>
    <w:rsid w:val="6E02625A"/>
    <w:rsid w:val="70A94121"/>
    <w:rsid w:val="72A93F87"/>
    <w:rsid w:val="74294E24"/>
    <w:rsid w:val="74BD4884"/>
    <w:rsid w:val="775C030E"/>
    <w:rsid w:val="7B59163D"/>
    <w:rsid w:val="7D84057C"/>
    <w:rsid w:val="7EC40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3">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2760</Words>
  <Characters>2996</Characters>
  <Lines>0</Lines>
  <Paragraphs>0</Paragraphs>
  <TotalTime>4</TotalTime>
  <ScaleCrop>false</ScaleCrop>
  <LinksUpToDate>false</LinksUpToDate>
  <CharactersWithSpaces>4260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2025-09-26T02:46:00Z</cp:lastPrinted>
  <dcterms:modified xsi:type="dcterms:W3CDTF">2025-10-23T10:18:35Z</dcterms:modified>
  <dc:title>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993074A8FD9E475D919210852D73BD2E</vt:lpwstr>
  </property>
  <property fmtid="{D5CDD505-2E9C-101B-9397-08002B2CF9AE}" pid="4" name="KSOTemplateDocerSaveRecord">
    <vt:lpwstr>eyJoZGlkIjoiMjhjYjA5MTE5ZDA4NTVkMjc4ZGUyZjQzZWU4NWQ2Y2YiLCJ1c2VySWQiOiI5NTE2MTA2NTAifQ==</vt:lpwstr>
  </property>
</Properties>
</file>