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kinsoku/>
        <w:wordWrap/>
        <w:topLinePunct w:val="0"/>
        <w:bidi w:val="0"/>
        <w:spacing w:line="560" w:lineRule="exact"/>
        <w:ind w:firstLine="0" w:firstLineChars="0"/>
        <w:jc w:val="center"/>
        <w:rPr>
          <w:rFonts w:hint="eastAsia" w:ascii="仿宋_GB2312" w:hAnsi="仿宋_GB2312" w:eastAsia="仿宋_GB2312" w:cs="仿宋_GB2312"/>
          <w:b w:val="0"/>
          <w:bCs/>
          <w:color w:val="000000"/>
          <w:sz w:val="32"/>
          <w:szCs w:val="32"/>
          <w:u w:val="single" w:color="FFFFFF"/>
          <w:lang w:val="en-US" w:eastAsia="zh-CN"/>
        </w:rPr>
      </w:pPr>
      <w:r>
        <w:rPr>
          <w:rFonts w:hint="eastAsia" w:ascii="仿宋_GB2312" w:hAnsi="仿宋_GB2312" w:eastAsia="仿宋_GB2312" w:cs="仿宋_GB2312"/>
          <w:b w:val="0"/>
          <w:bCs/>
          <w:color w:val="000000"/>
          <w:sz w:val="32"/>
          <w:szCs w:val="32"/>
          <w:u w:val="single" w:color="FFFFFF"/>
          <w:lang w:val="en-US" w:eastAsia="zh-CN"/>
        </w:rPr>
        <w:t>塔乌市监处罚〔2025〕180号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kern w:val="0"/>
          <w:sz w:val="32"/>
          <w:szCs w:val="32"/>
          <w:lang w:val="en-US" w:eastAsia="zh-CN" w:bidi="ar-SA"/>
        </w:rPr>
        <w:t>乌苏市俏妃经期护理店</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kern w:val="0"/>
          <w:sz w:val="32"/>
          <w:szCs w:val="32"/>
          <w:lang w:val="en-US" w:eastAsia="zh-CN" w:bidi="ar-SA"/>
        </w:rPr>
        <w:t>92654202MA7NHY8L9P</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kern w:val="0"/>
          <w:sz w:val="32"/>
          <w:szCs w:val="32"/>
          <w:lang w:val="en-US" w:eastAsia="zh-CN" w:bidi="ar-SA"/>
        </w:rPr>
        <w:t>新疆塔城地区乌苏市新市区街道文林路社区海河东路</w:t>
      </w:r>
      <w:bookmarkStart w:id="3" w:name="_GoBack"/>
      <w:bookmarkEnd w:id="3"/>
      <w:r>
        <w:rPr>
          <w:rFonts w:hint="eastAsia" w:ascii="仿宋_GB2312" w:hAnsi="仿宋_GB2312" w:eastAsia="仿宋_GB2312" w:cs="仿宋_GB2312"/>
          <w:kern w:val="0"/>
          <w:sz w:val="32"/>
          <w:szCs w:val="32"/>
          <w:lang w:val="en-US" w:eastAsia="zh-CN" w:bidi="ar-SA"/>
        </w:rPr>
        <w:t>华府商业街商铺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kern w:val="0"/>
          <w:sz w:val="32"/>
          <w:szCs w:val="32"/>
          <w:lang w:val="en-US" w:eastAsia="zh-CN" w:bidi="ar-SA"/>
        </w:rPr>
        <w:t>蔡**</w:t>
      </w:r>
    </w:p>
    <w:p>
      <w:pPr>
        <w:pStyle w:val="2"/>
        <w:keepNext w:val="0"/>
        <w:keepLines w:val="0"/>
        <w:pageBreakBefore w:val="0"/>
        <w:kinsoku/>
        <w:wordWrap/>
        <w:topLinePunct w:val="0"/>
        <w:bidi w:val="0"/>
        <w:spacing w:line="560" w:lineRule="exact"/>
        <w:ind w:left="0" w:leftChars="0" w:firstLine="640" w:firstLineChars="200"/>
        <w:jc w:val="both"/>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7月1日，我局接到塔城地区市场监督管理局推送的互联网广告监测线索，内容为“胸部背部疏乳塑胸胀痛结节干瘪下垂1份服务功效经前胀痛乳房结节松弛下垂服务时长服务内容60分钟胸部SPA（使用精油）60分钟门市价598元团购价198元”，根据线索内容执法人员多次来到乌苏市俏妃经期护理店均关门</w:t>
      </w:r>
      <w:r>
        <w:rPr>
          <w:rFonts w:hint="eastAsia" w:hAnsi="仿宋_GB2312" w:cs="仿宋_GB2312"/>
          <w:kern w:val="0"/>
          <w:sz w:val="32"/>
          <w:szCs w:val="32"/>
          <w:lang w:val="en-US" w:eastAsia="zh-CN" w:bidi="ar-SA"/>
        </w:rPr>
        <w:t>未营业</w:t>
      </w:r>
      <w:r>
        <w:rPr>
          <w:rFonts w:hint="eastAsia" w:ascii="仿宋_GB2312" w:hAnsi="仿宋_GB2312" w:eastAsia="仿宋_GB2312" w:cs="仿宋_GB2312"/>
          <w:kern w:val="0"/>
          <w:sz w:val="32"/>
          <w:szCs w:val="32"/>
          <w:lang w:val="en-US" w:eastAsia="zh-CN" w:bidi="ar-SA"/>
        </w:rPr>
        <w:t>，至2025年7月21日执法人员别尔克·革命江、阿依曼·阿依提木汗来到乌苏市新市区街道文林路社区海河东路204号华府商业街商铺的乌苏市俏妃经期护理店开展现场核查，该店正常营业，执法人员向经营者蔡</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出示执法证并说明来意，经营者蔡</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现场全程配合检查。经营场所检查发现店内右侧墙面上张贴海报俏妃经期护理项目：温宫调经针对症状（月经量少、宫寒痛经、淋漓不尽、非自然性停经）、净腔养巢针对症状（1.内外阴瘙痒2.白带异常3.宫颈糜烂症4.盆腔炎征兆5.性生活不和谐6.卵巢机能下降7.腰酸腰痛8.臀部下垂外扩）、疏乳塑胸针对症状（经前胀痛乳房结节干瘪萎缩松弛下垂）、三焦通络针对症状（针对症状：颈肩、腰、腿、关节、风湿、头痛、头晕、背部寒冷疼痛，四肢沉重，疲倦，手脚发麻，下肢水肿等亚健康问题），上述广告宣传内容涉及疾病治疗功能，使用医疗和</w:t>
      </w:r>
      <w:r>
        <w:rPr>
          <w:rFonts w:hint="eastAsia" w:hAnsi="仿宋_GB2312" w:cs="仿宋_GB2312"/>
          <w:kern w:val="0"/>
          <w:sz w:val="32"/>
          <w:szCs w:val="32"/>
          <w:lang w:val="en-US" w:eastAsia="zh-CN" w:bidi="ar-SA"/>
        </w:rPr>
        <w:t>易</w:t>
      </w:r>
      <w:r>
        <w:rPr>
          <w:rFonts w:hint="eastAsia" w:ascii="仿宋_GB2312" w:hAnsi="仿宋_GB2312" w:eastAsia="仿宋_GB2312" w:cs="仿宋_GB2312"/>
          <w:kern w:val="0"/>
          <w:sz w:val="32"/>
          <w:szCs w:val="32"/>
          <w:lang w:val="en-US" w:eastAsia="zh-CN" w:bidi="ar-SA"/>
        </w:rPr>
        <w:t>推销的服务药品、医疗器械相混淆用语的行为，违反了《中华人民共和国广告法》第十七条的规定，为进一步了解情况，经报局领导批准，于2025年7月21日立案，并指派王燕、别尔克·革命江对此案进行调查了解。本案于2025年8月13日调查终结。</w:t>
      </w:r>
    </w:p>
    <w:p>
      <w:pPr>
        <w:pStyle w:val="2"/>
        <w:keepNext w:val="0"/>
        <w:keepLines w:val="0"/>
        <w:pageBreakBefore w:val="0"/>
        <w:kinsoku/>
        <w:wordWrap/>
        <w:topLinePunct w:val="0"/>
        <w:bidi w:val="0"/>
        <w:spacing w:line="560" w:lineRule="exact"/>
        <w:ind w:left="0" w:leftChars="0" w:firstLine="640" w:firstLineChars="200"/>
        <w:jc w:val="both"/>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查，根据当事人供述，2025年7月1日塔城地区市场监督管理局推送的互联网广告监测线索：“胸部背部疏乳塑胸胀痛结节干瘪下垂1份服务功效经前胀痛乳房结节松弛下垂服务时长服务内容60分钟胸部SPA（使用精油）60分钟门市价598元团购价198元”，是由俏妃经期护理公司在直播间发布。2025年7月21日，执法人员现场查看俏妃负责人手机公司直播间已撤销上述广告宣传内容，现场检查发现当事人店内墙面上张贴的宣传海报俏妃经期护理项目：净腔养巢针对症状（1.内外阴瘙痒2.白带异常3.宫颈糜烂症4.盆腔炎征兆5.性生活不和谐6.卵巢机能下降7.腰酸腰痛8.臀部下垂外扩）、疏乳塑胸针对症状（经前胀痛乳房结节干瘪萎缩松弛下垂）</w:t>
      </w:r>
      <w:r>
        <w:rPr>
          <w:rFonts w:hint="eastAsia" w:ascii="仿宋_GB2312" w:hAnsi="仿宋_GB2312" w:eastAsia="仿宋_GB2312" w:cs="仿宋_GB2312"/>
          <w:kern w:val="0"/>
          <w:sz w:val="32"/>
          <w:szCs w:val="32"/>
          <w:u w:val="none"/>
          <w:lang w:val="en-US" w:eastAsia="zh-CN" w:bidi="ar-SA"/>
        </w:rPr>
        <w:t>宣传广告用语中，含有针对疾病症状</w:t>
      </w:r>
      <w:r>
        <w:rPr>
          <w:rFonts w:hint="eastAsia" w:hAnsi="仿宋_GB2312" w:cs="仿宋_GB2312"/>
          <w:kern w:val="0"/>
          <w:sz w:val="32"/>
          <w:szCs w:val="32"/>
          <w:u w:val="none"/>
          <w:lang w:val="en-US" w:eastAsia="zh-CN" w:bidi="ar-SA"/>
        </w:rPr>
        <w:t>和医疗用语</w:t>
      </w:r>
      <w:r>
        <w:rPr>
          <w:rFonts w:hint="eastAsia" w:ascii="仿宋_GB2312" w:hAnsi="仿宋_GB2312" w:eastAsia="仿宋_GB2312" w:cs="仿宋_GB2312"/>
          <w:kern w:val="0"/>
          <w:sz w:val="32"/>
          <w:szCs w:val="32"/>
          <w:u w:val="none"/>
          <w:lang w:val="en-US" w:eastAsia="zh-CN" w:bidi="ar-SA"/>
        </w:rPr>
        <w:t>，构成在非医疗、药品、医疗器械广告中涉及</w:t>
      </w:r>
      <w:r>
        <w:rPr>
          <w:rFonts w:hint="eastAsia" w:ascii="仿宋_GB2312" w:hAnsi="仿宋_GB2312" w:eastAsia="仿宋_GB2312" w:cs="仿宋_GB2312"/>
          <w:kern w:val="0"/>
          <w:sz w:val="32"/>
          <w:szCs w:val="32"/>
          <w:lang w:val="en-US" w:eastAsia="zh-CN" w:bidi="ar-SA"/>
        </w:rPr>
        <w:t>治疗功能和使用医疗和</w:t>
      </w:r>
      <w:r>
        <w:rPr>
          <w:rFonts w:hint="eastAsia" w:hAnsi="仿宋_GB2312" w:cs="仿宋_GB2312"/>
          <w:kern w:val="0"/>
          <w:sz w:val="32"/>
          <w:szCs w:val="32"/>
          <w:lang w:val="en-US" w:eastAsia="zh-CN" w:bidi="ar-SA"/>
        </w:rPr>
        <w:t>易</w:t>
      </w:r>
      <w:r>
        <w:rPr>
          <w:rFonts w:hint="eastAsia" w:ascii="仿宋_GB2312" w:hAnsi="仿宋_GB2312" w:eastAsia="仿宋_GB2312" w:cs="仿宋_GB2312"/>
          <w:kern w:val="0"/>
          <w:sz w:val="32"/>
          <w:szCs w:val="32"/>
          <w:lang w:val="en-US" w:eastAsia="zh-CN" w:bidi="ar-SA"/>
        </w:rPr>
        <w:t>推销的服务药品、医疗器械相混淆用语的行为</w:t>
      </w:r>
      <w:r>
        <w:rPr>
          <w:rFonts w:hint="eastAsia" w:ascii="仿宋_GB2312" w:hAnsi="仿宋_GB2312" w:eastAsia="仿宋_GB2312" w:cs="仿宋_GB2312"/>
          <w:kern w:val="0"/>
          <w:sz w:val="32"/>
          <w:szCs w:val="32"/>
          <w:u w:val="none"/>
          <w:lang w:val="en-US" w:eastAsia="zh-CN" w:bidi="ar-SA"/>
        </w:rPr>
        <w:t>。当事人发布的广告宣传</w:t>
      </w:r>
      <w:r>
        <w:rPr>
          <w:rFonts w:hint="eastAsia" w:ascii="仿宋_GB2312" w:hAnsi="仿宋_GB2312" w:eastAsia="仿宋_GB2312" w:cs="仿宋_GB2312"/>
          <w:kern w:val="0"/>
          <w:sz w:val="32"/>
          <w:szCs w:val="32"/>
          <w:lang w:val="en-US" w:eastAsia="zh-CN" w:bidi="ar-SA"/>
        </w:rPr>
        <w:t>海报</w:t>
      </w:r>
      <w:r>
        <w:rPr>
          <w:rFonts w:hint="eastAsia" w:ascii="仿宋_GB2312" w:hAnsi="仿宋_GB2312" w:eastAsia="仿宋_GB2312" w:cs="仿宋_GB2312"/>
          <w:kern w:val="0"/>
          <w:sz w:val="32"/>
          <w:szCs w:val="32"/>
          <w:u w:val="none"/>
          <w:lang w:val="en-US" w:eastAsia="zh-CN" w:bidi="ar-SA"/>
        </w:rPr>
        <w:t>是由</w:t>
      </w:r>
      <w:r>
        <w:rPr>
          <w:rFonts w:hint="eastAsia" w:ascii="仿宋_GB2312" w:hAnsi="仿宋_GB2312" w:eastAsia="仿宋_GB2312" w:cs="仿宋_GB2312"/>
          <w:kern w:val="0"/>
          <w:sz w:val="32"/>
          <w:szCs w:val="32"/>
          <w:lang w:val="en-US" w:eastAsia="zh-CN" w:bidi="ar-SA"/>
        </w:rPr>
        <w:t>俏妃经期护理公司制作，</w:t>
      </w:r>
      <w:r>
        <w:rPr>
          <w:rFonts w:hint="eastAsia" w:ascii="仿宋_GB2312" w:hAnsi="仿宋_GB2312" w:eastAsia="仿宋_GB2312" w:cs="仿宋_GB2312"/>
          <w:snapToGrid w:val="0"/>
          <w:color w:val="000000"/>
          <w:spacing w:val="0"/>
          <w:w w:val="100"/>
          <w:kern w:val="0"/>
          <w:sz w:val="32"/>
          <w:szCs w:val="32"/>
          <w:lang w:val="en-US" w:eastAsia="zh-CN"/>
        </w:rPr>
        <w:t>当事人以手机转账的形式付给</w:t>
      </w:r>
      <w:r>
        <w:rPr>
          <w:rFonts w:hint="eastAsia" w:ascii="仿宋_GB2312" w:hAnsi="仿宋_GB2312" w:eastAsia="仿宋_GB2312" w:cs="仿宋_GB2312"/>
          <w:kern w:val="0"/>
          <w:sz w:val="32"/>
          <w:szCs w:val="32"/>
          <w:u w:val="none"/>
          <w:lang w:val="en-US" w:eastAsia="zh-CN" w:bidi="ar-SA"/>
        </w:rPr>
        <w:t>公司30元费用，</w:t>
      </w:r>
      <w:r>
        <w:rPr>
          <w:rFonts w:hint="eastAsia" w:ascii="仿宋_GB2312" w:hAnsi="仿宋_GB2312" w:eastAsia="仿宋_GB2312" w:cs="仿宋_GB2312"/>
          <w:snapToGrid w:val="0"/>
          <w:color w:val="000000"/>
          <w:spacing w:val="0"/>
          <w:w w:val="100"/>
          <w:kern w:val="0"/>
          <w:sz w:val="32"/>
          <w:szCs w:val="32"/>
          <w:lang w:val="en-US" w:eastAsia="zh-CN"/>
        </w:rPr>
        <w:t>提供了转账记录。</w:t>
      </w:r>
      <w:r>
        <w:rPr>
          <w:rFonts w:hint="eastAsia" w:ascii="仿宋_GB2312" w:hAnsi="仿宋_GB2312" w:eastAsia="仿宋_GB2312" w:cs="仿宋_GB2312"/>
          <w:kern w:val="0"/>
          <w:sz w:val="32"/>
          <w:szCs w:val="32"/>
          <w:lang w:val="en-US" w:eastAsia="zh-CN" w:bidi="ar-SA"/>
        </w:rPr>
        <w:t>当事人对上述违法事实确认无异议，并在询问、现场笔录上签字确认。</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1.现场笔录1份，证明执法人员现场检查的情况，以及当事人发布的广告宣传内容涉及疾病治疗功能和使用医疗用语的事实；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2.询问笔录1份，证明当事人发布的广告宣传用语中涉及疾病治疗功能和使用医疗用语的事实；以及发布广告的时间、广告费用情况；</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3.现场检查拍摄照片2张，照片（一）证明执法人员现场检查发现当事人发布的涉案广告事实；照片（二）证明执法人员现场检查发现当事人发布广告的宣传牌内容使用医疗用语的事实；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4.经营者提供的2024年5月25日微信转账记录，证明经营者通过微信向俏妃连锁门店运营师支付涉案广告宣传海报费用30元的事实；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5.营业执照、经营者身份证复印件各1份，由当事人提供，证明当事人的经营主体资格及经营者的身份信息与营业执照登记的内容相符；</w:t>
      </w:r>
    </w:p>
    <w:p>
      <w:pPr>
        <w:pStyle w:val="2"/>
        <w:keepNext w:val="0"/>
        <w:keepLines w:val="0"/>
        <w:pageBreakBefore w:val="0"/>
        <w:kinsoku/>
        <w:wordWrap/>
        <w:topLinePunct w:val="0"/>
        <w:bidi w:val="0"/>
        <w:spacing w:line="560" w:lineRule="exact"/>
        <w:ind w:left="0" w:leftChars="0" w:firstLine="640" w:firstLineChars="200"/>
        <w:jc w:val="both"/>
        <w:outlineLvl w:val="9"/>
        <w:rPr>
          <w:rFonts w:hint="eastAsia" w:ascii="仿宋_GB2312" w:hAnsi="仿宋_GB2312" w:eastAsia="仿宋_GB2312" w:cs="仿宋_GB2312"/>
          <w:bCs/>
          <w:sz w:val="32"/>
          <w:szCs w:val="32"/>
          <w:lang w:val="en-US" w:eastAsia="zh-CN"/>
        </w:rPr>
      </w:pPr>
      <w:r>
        <w:rPr>
          <w:rFonts w:hint="eastAsia" w:hAnsi="仿宋_GB2312" w:cs="仿宋_GB2312"/>
          <w:snapToGrid w:val="0"/>
          <w:color w:val="000000"/>
          <w:spacing w:val="0"/>
          <w:w w:val="100"/>
          <w:kern w:val="0"/>
          <w:sz w:val="32"/>
          <w:szCs w:val="32"/>
          <w:lang w:val="en-US" w:eastAsia="zh-CN"/>
        </w:rPr>
        <w:t>6.</w:t>
      </w:r>
      <w:r>
        <w:rPr>
          <w:rFonts w:hint="eastAsia" w:ascii="仿宋_GB2312" w:hAnsi="仿宋_GB2312" w:eastAsia="仿宋_GB2312" w:cs="仿宋_GB2312"/>
          <w:kern w:val="0"/>
          <w:sz w:val="32"/>
          <w:szCs w:val="32"/>
          <w:lang w:val="en-US" w:eastAsia="zh-CN" w:bidi="ar-SA"/>
        </w:rPr>
        <w:t>塔城地区市场监督管理局推送的互联网广告监测线索</w:t>
      </w:r>
      <w:r>
        <w:rPr>
          <w:rFonts w:hint="eastAsia" w:ascii="仿宋_GB2312" w:hAnsi="仿宋_GB2312" w:eastAsia="仿宋_GB2312" w:cs="仿宋_GB2312"/>
          <w:bCs/>
          <w:sz w:val="32"/>
          <w:szCs w:val="32"/>
          <w:lang w:val="en-US" w:eastAsia="zh-CN"/>
        </w:rPr>
        <w:t>复印件1份，证明本案案件来源及当事人的违法行为。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我局于2025年9月16日依法向当事人送达了《行政处罚告知书》（塔乌市监罚告〔2025〕210号），告知了当事人依法享有陈述、申辩的权利，当事人在法定期限内未提出陈述、申辩，视为放弃此权利。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当事人的上述行为违反了《中华人民共和国广告法》第十七条：“除医疗、药品、医疗器械广告外，禁止其他任何广告涉及疾病治疗功能，并不得使用医疗用语或者易使推销的商品与药品、医疗器械相混淆的用语。”的规定，属于违法行为。</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鉴于当事人系初次违法，在案件办理过程中态度端正，能够积极配合办案人员调查，如实陈述违法事实。当事人已通过学习法律法规认识到自身的违法行为并积极改正，已将店内墙面上张贴的广告宣传海报摘除。综合考虑个案情况、当事人主客观情况等相关因素，坚持处罚与教育相结合的原则，决定给予当事人一般行政处罚。</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依据《中华人民共和国广告法》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规定，责令当事人改正违法行为，决定对当事人处罚如下：</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1、责令停止发布违法广告并消除影响；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2.处广告费用30元2倍的罚款，共计60元。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2025年9月29日</w:t>
      </w:r>
    </w:p>
    <w:p>
      <w:pPr>
        <w:pStyle w:val="2"/>
        <w:keepNext w:val="0"/>
        <w:keepLines w:val="0"/>
        <w:pageBreakBefore w:val="0"/>
        <w:kinsoku/>
        <w:wordWrap/>
        <w:topLinePunct w:val="0"/>
        <w:bidi w:val="0"/>
        <w:spacing w:line="560" w:lineRule="exact"/>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w:t>本文书一式</w:t>
      </w:r>
      <w:r>
        <w:rPr>
          <w:rFonts w:hint="eastAsia" w:ascii="仿宋_GB2312" w:hAnsi="仿宋_GB2312" w:eastAsia="仿宋_GB2312" w:cs="仿宋_GB2312"/>
          <w:bCs/>
          <w:sz w:val="32"/>
          <w:szCs w:val="32"/>
          <w:u w:val="single"/>
          <w:lang w:val="en-US" w:eastAsia="zh-CN"/>
        </w:rPr>
        <w:t>四</w:t>
      </w:r>
      <w:r>
        <w:rPr>
          <w:rFonts w:hint="eastAsia" w:ascii="仿宋_GB2312" w:hAnsi="仿宋_GB2312" w:eastAsia="仿宋_GB2312" w:cs="仿宋_GB2312"/>
          <w:bCs/>
          <w:sz w:val="32"/>
          <w:szCs w:val="32"/>
          <w:lang w:val="en-US" w:eastAsia="zh-CN"/>
        </w:rPr>
        <w:t>份，</w:t>
      </w:r>
      <w:r>
        <w:rPr>
          <w:rFonts w:hint="eastAsia" w:ascii="仿宋_GB2312" w:hAnsi="仿宋_GB2312" w:eastAsia="仿宋_GB2312" w:cs="仿宋_GB2312"/>
          <w:bCs/>
          <w:sz w:val="32"/>
          <w:szCs w:val="32"/>
          <w:u w:val="single"/>
          <w:lang w:val="en-US" w:eastAsia="zh-CN"/>
        </w:rPr>
        <w:t>一</w:t>
      </w:r>
      <w:r>
        <w:rPr>
          <w:rFonts w:hint="eastAsia" w:ascii="仿宋_GB2312" w:hAnsi="仿宋_GB2312" w:eastAsia="仿宋_GB2312" w:cs="仿宋_GB2312"/>
          <w:bCs/>
          <w:sz w:val="32"/>
          <w:szCs w:val="32"/>
          <w:lang w:val="en-US" w:eastAsia="zh-CN"/>
        </w:rPr>
        <w:t>份送达，</w:t>
      </w:r>
      <w:r>
        <w:rPr>
          <w:rFonts w:hint="eastAsia" w:ascii="仿宋_GB2312" w:hAnsi="仿宋_GB2312" w:eastAsia="仿宋_GB2312" w:cs="仿宋_GB2312"/>
          <w:bCs/>
          <w:sz w:val="32"/>
          <w:szCs w:val="32"/>
          <w:u w:val="single"/>
          <w:lang w:val="en-US" w:eastAsia="zh-CN"/>
        </w:rPr>
        <w:t>三</w:t>
      </w:r>
      <w:r>
        <w:rPr>
          <w:rFonts w:hint="eastAsia" w:ascii="仿宋_GB2312" w:hAnsi="仿宋_GB2312" w:eastAsia="仿宋_GB2312" w:cs="仿宋_GB2312"/>
          <w:bCs/>
          <w:sz w:val="32"/>
          <w:szCs w:val="32"/>
          <w:lang w:val="en-US" w:eastAsia="zh-CN"/>
        </w:rPr>
        <w:t>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6A121E86"/>
    <w:rsid w:val="02FB7C89"/>
    <w:rsid w:val="1212633A"/>
    <w:rsid w:val="1607245F"/>
    <w:rsid w:val="1A7236C9"/>
    <w:rsid w:val="20C71407"/>
    <w:rsid w:val="21603FF8"/>
    <w:rsid w:val="22374417"/>
    <w:rsid w:val="25EB6CF4"/>
    <w:rsid w:val="265005E2"/>
    <w:rsid w:val="2AB7577C"/>
    <w:rsid w:val="2C6E5732"/>
    <w:rsid w:val="369E52E0"/>
    <w:rsid w:val="375A40A8"/>
    <w:rsid w:val="3A5E3688"/>
    <w:rsid w:val="47482A97"/>
    <w:rsid w:val="4B8F7E7F"/>
    <w:rsid w:val="6A121E86"/>
    <w:rsid w:val="78461878"/>
    <w:rsid w:val="7A122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99"/>
    <w:pPr>
      <w:spacing w:line="440" w:lineRule="exact"/>
      <w:ind w:left="300" w:leftChars="143" w:firstLine="600" w:firstLineChars="200"/>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2573</Words>
  <Characters>2717</Characters>
  <Lines>0</Lines>
  <Paragraphs>0</Paragraphs>
  <TotalTime>19</TotalTime>
  <ScaleCrop>false</ScaleCrop>
  <LinksUpToDate>false</LinksUpToDate>
  <CharactersWithSpaces>3061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2025-09-28T11:07:00Z</dcterms:created>
  <dc:creator>MIni</dc:creator>
  <cp:lastModifiedBy>喜文</cp:lastModifiedBy>
  <cp:lastPrinted>2025-09-29T03:36:00Z</cp:lastPrinted>
  <dcterms:modified xsi:type="dcterms:W3CDTF">2025-10-23T10:18:47Z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eyJoZGlkIjoiMjhjYjA5MTE5ZDA4NTVkMjc4ZGUyZjQzZWU4NWQ2Y2YiLCJ1c2VySWQiOiI5NTE2MTA2NTAifQ==</vt:lpwstr>
  </property>
  <property fmtid="{D5CDD505-2E9C-101B-9397-08002B2CF9AE}" pid="4" name="ICV">
    <vt:lpwstr>AE7150999BAD40638114014A6226F52B_12</vt:lpwstr>
  </property>
</Properties>
</file>