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auto"/>
          <w:spacing w:val="-7"/>
          <w:kern w:val="0"/>
          <w:sz w:val="32"/>
          <w:szCs w:val="32"/>
          <w:lang w:val="en-US" w:eastAsia="zh-CN"/>
        </w:rPr>
        <w:t>185</w:t>
      </w:r>
      <w:r>
        <w:rPr>
          <w:rFonts w:hint="eastAsia" w:ascii="仿宋_GB2312" w:hAnsi="仿宋_GB2312" w:eastAsia="仿宋_GB2312" w:cs="仿宋_GB2312"/>
          <w:snapToGrid w:val="0"/>
          <w:color w:val="auto"/>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pacing w:val="-1"/>
          <w:sz w:val="32"/>
          <w:szCs w:val="32"/>
          <w:lang w:eastAsia="zh-CN"/>
        </w:rPr>
        <w:t>乌苏市代珍熟食加工店</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eastAsia="zh-CN"/>
        </w:rPr>
        <w:t>9</w:t>
      </w:r>
      <w:r>
        <w:rPr>
          <w:rFonts w:hint="eastAsia" w:ascii="仿宋_GB2312" w:hAnsi="仿宋_GB2312" w:eastAsia="仿宋_GB2312" w:cs="仿宋_GB2312"/>
          <w:snapToGrid w:val="0"/>
          <w:color w:val="000000"/>
          <w:spacing w:val="-9"/>
          <w:kern w:val="0"/>
          <w:sz w:val="32"/>
          <w:szCs w:val="32"/>
          <w:lang w:val="en-US" w:eastAsia="zh-CN"/>
        </w:rPr>
        <w:t>2</w:t>
      </w:r>
      <w:r>
        <w:rPr>
          <w:rFonts w:hint="eastAsia" w:ascii="仿宋_GB2312" w:hAnsi="仿宋_GB2312" w:eastAsia="仿宋_GB2312" w:cs="仿宋_GB2312"/>
          <w:snapToGrid w:val="0"/>
          <w:color w:val="000000"/>
          <w:spacing w:val="-9"/>
          <w:kern w:val="0"/>
          <w:sz w:val="32"/>
          <w:szCs w:val="32"/>
          <w:lang w:eastAsia="zh-CN"/>
        </w:rPr>
        <w:t>654202MA</w:t>
      </w:r>
      <w:r>
        <w:rPr>
          <w:rFonts w:hint="eastAsia" w:ascii="仿宋_GB2312" w:hAnsi="仿宋_GB2312" w:eastAsia="仿宋_GB2312" w:cs="仿宋_GB2312"/>
          <w:snapToGrid w:val="0"/>
          <w:color w:val="000000"/>
          <w:spacing w:val="-9"/>
          <w:kern w:val="0"/>
          <w:sz w:val="32"/>
          <w:szCs w:val="32"/>
          <w:lang w:val="en-US" w:eastAsia="zh-CN"/>
        </w:rPr>
        <w:t>7AANAC8Q</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eastAsia="zh-CN"/>
        </w:rPr>
        <w:t>新疆塔城地区乌苏市新市区办事处北园春路农产品中心批发市场</w:t>
      </w:r>
      <w:bookmarkStart w:id="0" w:name="_GoBack"/>
      <w:bookmarkEnd w:id="0"/>
      <w:r>
        <w:rPr>
          <w:rFonts w:hint="eastAsia" w:ascii="仿宋_GB2312" w:hAnsi="仿宋_GB2312" w:eastAsia="仿宋_GB2312" w:cs="仿宋_GB2312"/>
          <w:snapToGrid w:val="0"/>
          <w:color w:val="000000"/>
          <w:spacing w:val="-9"/>
          <w:ker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经营者：寇**</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2024年11月5日，乌苏市市场监督管理局联合乌苏市公安局开展肉制品市场检查过程中发现乌苏市代珍熟食加工店加工的卤肉制品涉嫌超范围使用禁止在肉类产品添加的日落黄添加剂并在门店进行销售。经报局领导批准，执法人员现场对当事人销售的涉嫌超范围使用日落黄添加剂的卤肉制品、日落黄食品添加剂实施了扣押的行政强制措施，向当事人送达了《实施行政强制措施决定书》（乌市监强制〔2024〕158号），当事人现场签收无异议。</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2024年11月7日，我局委托新疆维吾尔自治区科技资源共享服务中心对当事人加工并销售的卤肉制品进行了抽检。因当事人超范围使用食品添加剂的行为涉嫌犯罪，依据《市场监督管理行政处罚程序规定》第十七条第二款的规定，我局于当日将该线索移送乌苏市公安局进行处理。乌苏市公安局于2024年11月7日认为该线索符合刑事立案标准，并向我局送达了立案告知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lang w:val="en-US" w:eastAsia="zh-CN"/>
        </w:rPr>
        <w:t>2025年7月11日，我局收到乌苏市人民检察院《检察意见书》（乌苏市检刑行意〔2025〕101号）、《不起诉决定书》（乌苏市检刑不诉〔2025〕126号），经乌苏市人民检察院依法审查查明，被不起诉人寇**为了使其在乌苏市友好路农贸市场经营的“代珍熟食摊”销售的卤肉制品颜色光鲜亮丽、增加销售量，从2024年3月开始，在位于乌苏市北园春市场B2-08号乌苏市代珍熟食加工店内加工卤肉制品过程中，非法添加日落黄添加剂。2024年11月5日，乌苏市市场监督管理局联合乌苏市公安局在食品检查过程中，对当事人涉嫌超范围使用日落黄添加剂的卤肉制品进行抽检并委托新疆维吾尔自治区科技资源共享服务中心检验，经检验日落黄项目不符合GB2760-2014要求，检验结论为不合格。乌苏市人民检察院于2025年7月3日以乌苏市公安局认定寇**在卤肉制品中非法添加日落黄的行为，足以造成严重食物中毒事故或者其他严重食源性疾病的证据不足，不符合起诉条件为由下发了《乌苏市人民检察院不起诉决定书》（乌苏市检刑不诉〔2025〕126号），决定对寇**不起诉。检察机关通过对案件事实、证据材料的全面审查，寇**的行为违反了《中华人民共和国食品安全法》第三十四条第四项的规定，其行政违法行为事实清楚，具有行政处罚必要性，故向我局提出依法给予被不起诉人相应情形的行政处罚的检察意见。2025年7月14日，我局收到乌苏市公安局制发的《关于寇**超范围、超限量使用食品添加剂的食品线索移交函》，认定寇**超范围使用食品添加剂的行为属于行政违法行为，将该线索移交我局进行行政处罚。经对上述移交材料进行核查，发现当事人乌苏市代珍熟食加工店的行为涉嫌违反了《新疆维吾尔自治区食品小作坊、小餐饮店、小食杂店和食品摊贩管理条例》第二十六条第五项和《中华人民共和国食品安全法》第三十四条第四项的规定</w:t>
      </w:r>
      <w:r>
        <w:rPr>
          <w:rFonts w:hint="eastAsia" w:ascii="仿宋_GB2312" w:hAnsi="仿宋_GB2312" w:eastAsia="仿宋_GB2312" w:cs="仿宋_GB2312"/>
          <w:snapToGrid w:val="0"/>
          <w:color w:val="000000"/>
          <w:kern w:val="0"/>
          <w:sz w:val="32"/>
          <w:szCs w:val="32"/>
          <w:lang w:val="en-US" w:eastAsia="zh-CN"/>
        </w:rPr>
        <w:t>。经报局领导批准，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2025年7月15日立案，并指派孙洁、汪杰对此案进行调查了解。2025年9月5日，我局收到乌苏市公安局移交的《乌苏市公安局涉案财物移交清单》及物品，执法人员对涉案物品实施了扣押行政强制措施</w:t>
      </w:r>
      <w:r>
        <w:rPr>
          <w:rFonts w:hint="eastAsia" w:ascii="仿宋_GB2312" w:hAnsi="仿宋_GB2312" w:eastAsia="仿宋_GB2312" w:cs="仿宋_GB2312"/>
          <w:snapToGrid w:val="0"/>
          <w:color w:val="000000"/>
          <w:spacing w:val="1"/>
          <w:kern w:val="0"/>
          <w:sz w:val="32"/>
          <w:szCs w:val="32"/>
          <w:lang w:val="en-US" w:eastAsia="zh-CN"/>
        </w:rPr>
        <w:t>（乌市监强制〔2025〕110-1号），并送达当事人现场予以签收。</w:t>
      </w:r>
      <w:r>
        <w:rPr>
          <w:rFonts w:hint="eastAsia" w:ascii="仿宋_GB2312" w:hAnsi="仿宋_GB2312" w:eastAsia="仿宋_GB2312" w:cs="仿宋_GB2312"/>
          <w:b w:val="0"/>
          <w:bCs w:val="0"/>
          <w:kern w:val="1"/>
          <w:sz w:val="32"/>
          <w:szCs w:val="32"/>
          <w:lang w:val="en-US" w:eastAsia="zh-CN"/>
        </w:rPr>
        <w:t>本案于2025年9月5日调查终结。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eastAsia="zh-CN"/>
        </w:rPr>
        <w:t>经查，当事人于</w:t>
      </w:r>
      <w:r>
        <w:rPr>
          <w:rFonts w:hint="eastAsia" w:ascii="仿宋_GB2312" w:hAnsi="仿宋_GB2312" w:eastAsia="仿宋_GB2312" w:cs="仿宋_GB2312"/>
          <w:snapToGrid w:val="0"/>
          <w:color w:val="000000"/>
          <w:spacing w:val="1"/>
          <w:kern w:val="0"/>
          <w:sz w:val="32"/>
          <w:szCs w:val="32"/>
          <w:lang w:val="en-US" w:eastAsia="zh-CN"/>
        </w:rPr>
        <w:t>2024年3月开始在位于乌苏市北园春路农产品批发市场B2-08号其经营的乌苏市代珍熟食加工店加工卤肉制品过程中，为了使卤肉制品颜色鲜亮吸引顾客购买，在卤肉制品制作过程中使用复配食品添加剂日落黄，于2024年11月5日被我局执法人员查获。2024年11月7日，经我局委托新疆维吾尔自治区科技资源共享服务中心（原新疆维吾尔自治区分析测试研究院）对当事人加工的卤肉制品进行食品安全监督抽检，并出具检验报告（编号：N0241108XC0352），经检验结论为：经抽样检验日落黄项目不符合GB2760-2014要求，检验项目：日落黄，计量单位：g/kg，标准指标：不得使用，实测值：0.105，检验结论为不合格。另查明，当事人从2024年3月开始至2024年11月3日，当事人从石河子屠宰厂以单价每公斤20元价格购进卤肉食品原材料，共购进原材料价值57220元。通过添加复配食品添加剂日落黄后以每公斤65元的价格进行销售，销售额共计90472.25元，违法所得为90472.25元。</w:t>
      </w:r>
      <w:r>
        <w:rPr>
          <w:rFonts w:hint="eastAsia" w:ascii="仿宋_GB2312" w:hAnsi="仿宋_GB2312" w:eastAsia="仿宋_GB2312" w:cs="仿宋_GB2312"/>
          <w:b w:val="0"/>
          <w:bCs w:val="0"/>
          <w:color w:val="000000" w:themeColor="text1"/>
          <w:kern w:val="1"/>
          <w:sz w:val="32"/>
          <w:szCs w:val="32"/>
          <w:u w:val="none"/>
          <w:lang w:val="en-US" w:eastAsia="zh-CN"/>
        </w:rPr>
        <w:t>当事人上述行为已构成</w:t>
      </w:r>
      <w:r>
        <w:rPr>
          <w:rFonts w:hint="eastAsia" w:ascii="仿宋_GB2312" w:hAnsi="仿宋_GB2312" w:eastAsia="仿宋_GB2312" w:cs="仿宋_GB2312"/>
          <w:snapToGrid w:val="0"/>
          <w:color w:val="000000"/>
          <w:spacing w:val="1"/>
          <w:kern w:val="0"/>
          <w:sz w:val="32"/>
          <w:szCs w:val="32"/>
          <w:lang w:val="en-US" w:eastAsia="zh-CN"/>
        </w:rPr>
        <w:t>超范围使用日落黄食品添加剂加工卤肉制品的行为。</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spacing w:val="-9"/>
          <w:kern w:val="0"/>
          <w:sz w:val="32"/>
          <w:szCs w:val="32"/>
          <w:lang w:val="en-US" w:eastAsia="zh-CN"/>
        </w:rPr>
        <w:t>上述</w:t>
      </w:r>
      <w:r>
        <w:rPr>
          <w:rFonts w:hint="eastAsia" w:ascii="仿宋_GB2312" w:hAnsi="仿宋_GB2312" w:eastAsia="仿宋_GB2312" w:cs="仿宋_GB2312"/>
          <w:b/>
          <w:bCs/>
          <w:snapToGrid w:val="0"/>
          <w:color w:val="000000"/>
          <w:spacing w:val="-2"/>
          <w:kern w:val="0"/>
          <w:sz w:val="32"/>
          <w:szCs w:val="32"/>
        </w:rPr>
        <w:t>事实，主要有以下证据证明：</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snapToGrid w:val="0"/>
          <w:color w:val="000000"/>
          <w:spacing w:val="1"/>
          <w:kern w:val="0"/>
          <w:sz w:val="32"/>
          <w:szCs w:val="32"/>
          <w:u w:val="none" w:color="auto"/>
          <w:lang w:val="en-US" w:eastAsia="zh-CN"/>
        </w:rPr>
        <w:t>《营业执照》《食品小作坊登记证》及</w:t>
      </w:r>
      <w:r>
        <w:rPr>
          <w:rFonts w:hint="eastAsia" w:ascii="仿宋_GB2312" w:hAnsi="仿宋_GB2312" w:eastAsia="仿宋_GB2312" w:cs="仿宋_GB2312"/>
          <w:snapToGrid w:val="0"/>
          <w:color w:val="000000"/>
          <w:spacing w:val="-9"/>
          <w:kern w:val="0"/>
          <w:sz w:val="32"/>
          <w:szCs w:val="32"/>
          <w:lang w:eastAsia="zh-CN"/>
        </w:rPr>
        <w:t>当事人</w:t>
      </w:r>
      <w:r>
        <w:rPr>
          <w:rFonts w:hint="eastAsia" w:ascii="仿宋_GB2312" w:hAnsi="仿宋_GB2312" w:eastAsia="仿宋_GB2312" w:cs="仿宋_GB2312"/>
          <w:snapToGrid w:val="0"/>
          <w:color w:val="000000"/>
          <w:spacing w:val="1"/>
          <w:kern w:val="0"/>
          <w:sz w:val="32"/>
          <w:szCs w:val="32"/>
          <w:lang w:val="en-US" w:eastAsia="zh-CN"/>
        </w:rPr>
        <w:t>寇**</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身份证复印件各1份，由当事人提供，证明当事人经营主体资格和经营范围及经营者的身份信息；</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spacing w:val="4"/>
          <w:kern w:val="0"/>
          <w:sz w:val="32"/>
          <w:szCs w:val="32"/>
          <w:lang w:eastAsia="zh-CN"/>
        </w:rPr>
      </w:pP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份，证明执法人员</w:t>
      </w:r>
      <w:r>
        <w:rPr>
          <w:rFonts w:hint="eastAsia" w:ascii="仿宋_GB2312" w:hAnsi="仿宋_GB2312" w:eastAsia="仿宋_GB2312" w:cs="仿宋_GB2312"/>
          <w:snapToGrid w:val="0"/>
          <w:color w:val="000000"/>
          <w:spacing w:val="1"/>
          <w:kern w:val="0"/>
          <w:sz w:val="32"/>
          <w:szCs w:val="32"/>
          <w:u w:val="none" w:color="auto"/>
          <w:lang w:val="en-US" w:eastAsia="zh-CN"/>
        </w:rPr>
        <w:t>现场检查发现当事人</w:t>
      </w:r>
      <w:r>
        <w:rPr>
          <w:rFonts w:hint="eastAsia" w:ascii="仿宋_GB2312" w:hAnsi="仿宋_GB2312" w:eastAsia="仿宋_GB2312" w:cs="仿宋_GB2312"/>
          <w:snapToGrid w:val="0"/>
          <w:color w:val="000000"/>
          <w:spacing w:val="1"/>
          <w:kern w:val="0"/>
          <w:sz w:val="32"/>
          <w:szCs w:val="32"/>
          <w:lang w:val="en-US" w:eastAsia="zh-CN"/>
        </w:rPr>
        <w:t>加工卤肉制品使用食品添加剂</w:t>
      </w:r>
      <w:r>
        <w:rPr>
          <w:rFonts w:hint="eastAsia" w:ascii="仿宋_GB2312" w:hAnsi="仿宋_GB2312" w:eastAsia="仿宋_GB2312" w:cs="仿宋_GB2312"/>
          <w:snapToGrid w:val="0"/>
          <w:color w:val="000000"/>
          <w:spacing w:val="4"/>
          <w:kern w:val="0"/>
          <w:sz w:val="32"/>
          <w:szCs w:val="32"/>
          <w:lang w:eastAsia="zh-CN"/>
        </w:rPr>
        <w:t>的事实和现场检查经过；</w:t>
      </w:r>
    </w:p>
    <w:p>
      <w:pPr>
        <w:keepNext w:val="0"/>
        <w:keepLines w:val="0"/>
        <w:pageBreakBefore w:val="0"/>
        <w:widowControl w:val="0"/>
        <w:numPr>
          <w:ilvl w:val="0"/>
          <w:numId w:val="0"/>
        </w:numPr>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1份</w:t>
      </w:r>
      <w:r>
        <w:rPr>
          <w:rFonts w:hint="eastAsia" w:ascii="仿宋_GB2312" w:hAnsi="仿宋_GB2312" w:eastAsia="仿宋_GB2312" w:cs="仿宋_GB2312"/>
          <w:b w:val="0"/>
          <w:bCs w:val="0"/>
          <w:kern w:val="1"/>
          <w:sz w:val="32"/>
          <w:szCs w:val="32"/>
          <w:lang w:eastAsia="zh-CN"/>
        </w:rPr>
        <w:t>，证明当事人在</w:t>
      </w:r>
      <w:r>
        <w:rPr>
          <w:rFonts w:hint="eastAsia" w:ascii="仿宋_GB2312" w:hAnsi="仿宋_GB2312" w:eastAsia="仿宋_GB2312" w:cs="仿宋_GB2312"/>
          <w:spacing w:val="-1"/>
          <w:sz w:val="32"/>
          <w:szCs w:val="32"/>
          <w:lang w:eastAsia="zh-CN"/>
        </w:rPr>
        <w:t>加工卤肉制品过程中超范围使用食品添加剂</w:t>
      </w:r>
      <w:r>
        <w:rPr>
          <w:rFonts w:hint="eastAsia" w:ascii="仿宋_GB2312" w:hAnsi="仿宋_GB2312" w:eastAsia="仿宋_GB2312" w:cs="仿宋_GB2312"/>
          <w:snapToGrid w:val="0"/>
          <w:color w:val="000000"/>
          <w:spacing w:val="1"/>
          <w:kern w:val="0"/>
          <w:sz w:val="32"/>
          <w:szCs w:val="32"/>
          <w:lang w:val="en-US" w:eastAsia="zh-CN"/>
        </w:rPr>
        <w:t>日落黄</w:t>
      </w:r>
      <w:r>
        <w:rPr>
          <w:rFonts w:hint="eastAsia" w:ascii="仿宋_GB2312" w:hAnsi="仿宋_GB2312" w:eastAsia="仿宋_GB2312" w:cs="仿宋_GB2312"/>
          <w:spacing w:val="-1"/>
          <w:sz w:val="32"/>
          <w:szCs w:val="32"/>
          <w:lang w:eastAsia="zh-CN"/>
        </w:rPr>
        <w:t>的事实及购进、销售涉案食品的时间、金额</w:t>
      </w:r>
      <w:r>
        <w:rPr>
          <w:rFonts w:hint="eastAsia" w:ascii="仿宋_GB2312" w:hAnsi="仿宋_GB2312" w:eastAsia="仿宋_GB2312" w:cs="仿宋_GB2312"/>
          <w:b w:val="0"/>
          <w:bCs w:val="0"/>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4.《乌苏市公安局关于</w:t>
      </w:r>
      <w:r>
        <w:rPr>
          <w:rFonts w:hint="eastAsia" w:ascii="仿宋_GB2312" w:hAnsi="仿宋_GB2312" w:eastAsia="仿宋_GB2312" w:cs="仿宋_GB2312"/>
          <w:snapToGrid w:val="0"/>
          <w:color w:val="000000"/>
          <w:spacing w:val="1"/>
          <w:kern w:val="0"/>
          <w:sz w:val="32"/>
          <w:szCs w:val="32"/>
          <w:lang w:val="en-US" w:eastAsia="zh-CN"/>
        </w:rPr>
        <w:t>寇**</w:t>
      </w:r>
      <w:r>
        <w:rPr>
          <w:rFonts w:hint="eastAsia" w:ascii="仿宋_GB2312" w:hAnsi="仿宋_GB2312" w:eastAsia="仿宋_GB2312" w:cs="仿宋_GB2312"/>
          <w:b w:val="0"/>
          <w:bCs w:val="0"/>
          <w:kern w:val="1"/>
          <w:sz w:val="32"/>
          <w:szCs w:val="32"/>
          <w:lang w:val="en-US" w:eastAsia="zh-CN"/>
        </w:rPr>
        <w:t>超范围使用食品添加剂的食品线索移交函》及相关案件材料复印件各1份（含：1、</w:t>
      </w:r>
      <w:r>
        <w:rPr>
          <w:rFonts w:hint="eastAsia" w:ascii="仿宋_GB2312" w:hAnsi="仿宋_GB2312" w:eastAsia="仿宋_GB2312" w:cs="仿宋_GB2312"/>
          <w:snapToGrid w:val="0"/>
          <w:color w:val="000000"/>
          <w:spacing w:val="1"/>
          <w:kern w:val="0"/>
          <w:sz w:val="32"/>
          <w:szCs w:val="32"/>
          <w:lang w:val="en-US" w:eastAsia="zh-CN"/>
        </w:rPr>
        <w:t>寇**</w:t>
      </w:r>
      <w:r>
        <w:rPr>
          <w:rFonts w:hint="eastAsia" w:ascii="仿宋_GB2312" w:hAnsi="仿宋_GB2312" w:eastAsia="仿宋_GB2312" w:cs="仿宋_GB2312"/>
          <w:b w:val="0"/>
          <w:bCs w:val="0"/>
          <w:kern w:val="1"/>
          <w:sz w:val="32"/>
          <w:szCs w:val="32"/>
          <w:lang w:val="en-US" w:eastAsia="zh-CN"/>
        </w:rPr>
        <w:t>四次询问笔录复印件，笔录时间分别为：2024年11月11日、2024年12月4日、2025年1月10日、2024年11月6日；2、检验报告复印件1份；3、论证说明1份；4、乌苏市人民检察院不起诉决定书），证明当事人在其经营场所加工卤肉制品过程中超范围使用食品添加剂的事实经过；</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5.《乌苏市人民检察院检察意见书》《不起诉决定书》及公安机关证据材料150页（复印件），证明当事人在制作卤肉制品过程中</w:t>
      </w:r>
      <w:r>
        <w:rPr>
          <w:rFonts w:hint="eastAsia" w:ascii="仿宋_GB2312" w:hAnsi="仿宋_GB2312" w:eastAsia="仿宋_GB2312" w:cs="仿宋_GB2312"/>
          <w:spacing w:val="-1"/>
          <w:sz w:val="32"/>
          <w:szCs w:val="32"/>
          <w:lang w:eastAsia="zh-CN"/>
        </w:rPr>
        <w:t>超范围使用食品添加剂日落黄的事实经过</w:t>
      </w:r>
      <w:r>
        <w:rPr>
          <w:rFonts w:hint="eastAsia" w:ascii="仿宋_GB2312" w:hAnsi="仿宋_GB2312" w:eastAsia="仿宋_GB2312" w:cs="仿宋_GB2312"/>
          <w:snapToGrid w:val="0"/>
          <w:color w:val="000000"/>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6.新疆维吾尔自治区科技资源共享服务中心出具的检验检测报告</w:t>
      </w:r>
      <w:r>
        <w:rPr>
          <w:rFonts w:hint="eastAsia" w:ascii="仿宋_GB2312" w:hAnsi="仿宋_GB2312" w:eastAsia="仿宋_GB2312" w:cs="仿宋_GB2312"/>
          <w:snapToGrid w:val="0"/>
          <w:color w:val="000000"/>
          <w:spacing w:val="1"/>
          <w:kern w:val="0"/>
          <w:sz w:val="32"/>
          <w:szCs w:val="32"/>
          <w:lang w:val="en-US" w:eastAsia="zh-CN"/>
        </w:rPr>
        <w:t>（编号：N0241108XC0352）</w:t>
      </w:r>
      <w:r>
        <w:rPr>
          <w:rFonts w:hint="eastAsia" w:ascii="仿宋_GB2312" w:hAnsi="仿宋_GB2312" w:eastAsia="仿宋_GB2312" w:cs="仿宋_GB2312"/>
          <w:snapToGrid w:val="0"/>
          <w:color w:val="000000"/>
          <w:spacing w:val="1"/>
          <w:kern w:val="0"/>
          <w:sz w:val="32"/>
          <w:szCs w:val="32"/>
          <w:u w:val="none" w:color="auto"/>
          <w:lang w:val="en-US" w:eastAsia="zh-CN"/>
        </w:rPr>
        <w:t>1份，证明当事人制售的卤肉制品经检验为不合格的事实。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以上证据由当事人</w:t>
      </w:r>
      <w:r>
        <w:rPr>
          <w:rFonts w:hint="eastAsia" w:ascii="仿宋_GB2312" w:hAnsi="仿宋_GB2312" w:eastAsia="仿宋_GB2312" w:cs="仿宋_GB2312"/>
          <w:snapToGrid w:val="0"/>
          <w:color w:val="000000"/>
          <w:spacing w:val="1"/>
          <w:kern w:val="0"/>
          <w:sz w:val="32"/>
          <w:szCs w:val="32"/>
          <w:lang w:val="en-US" w:eastAsia="zh-CN"/>
        </w:rPr>
        <w:t>寇**</w:t>
      </w:r>
      <w:r>
        <w:rPr>
          <w:rFonts w:hint="eastAsia" w:ascii="仿宋_GB2312" w:hAnsi="仿宋_GB2312" w:eastAsia="仿宋_GB2312" w:cs="仿宋_GB2312"/>
          <w:sz w:val="32"/>
          <w:szCs w:val="32"/>
          <w:u w:val="none"/>
          <w:lang w:val="en-US" w:eastAsia="zh-CN"/>
        </w:rPr>
        <w:t>确认签字并盖章。</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于2025年9月23日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146</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w:t>
      </w:r>
      <w:r>
        <w:rPr>
          <w:rFonts w:hint="eastAsia" w:ascii="仿宋_GB2312" w:hAnsi="仿宋_GB2312" w:eastAsia="仿宋_GB2312" w:cs="仿宋_GB2312"/>
          <w:snapToGrid w:val="0"/>
          <w:color w:val="000000"/>
          <w:kern w:val="0"/>
          <w:sz w:val="32"/>
          <w:szCs w:val="32"/>
          <w:lang w:eastAsia="zh-CN"/>
        </w:rPr>
        <w:t>、要求听证</w:t>
      </w:r>
      <w:r>
        <w:rPr>
          <w:rFonts w:hint="eastAsia" w:ascii="仿宋_GB2312" w:hAnsi="仿宋_GB2312" w:eastAsia="仿宋_GB2312" w:cs="仿宋_GB2312"/>
          <w:snapToGrid w:val="0"/>
          <w:color w:val="000000"/>
          <w:kern w:val="0"/>
          <w:sz w:val="32"/>
          <w:szCs w:val="32"/>
        </w:rPr>
        <w:t>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，也未提出听证，</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b w:val="0"/>
          <w:bCs w:val="0"/>
          <w:kern w:val="1"/>
          <w:sz w:val="32"/>
          <w:szCs w:val="32"/>
          <w:lang w:val="en-US" w:eastAsia="zh-CN"/>
        </w:rPr>
        <w:t>当事人超范围使用食品添加剂的行为，违反了</w:t>
      </w:r>
      <w:r>
        <w:rPr>
          <w:rFonts w:hint="eastAsia" w:ascii="仿宋_GB2312" w:hAnsi="仿宋_GB2312" w:eastAsia="仿宋_GB2312" w:cs="仿宋_GB2312"/>
          <w:snapToGrid w:val="0"/>
          <w:color w:val="000000"/>
          <w:spacing w:val="1"/>
          <w:kern w:val="0"/>
          <w:sz w:val="32"/>
          <w:szCs w:val="32"/>
          <w:lang w:val="en-US" w:eastAsia="zh-CN"/>
        </w:rPr>
        <w:t>《新疆维吾尔自治区食品小作坊、小餐饮店、小食杂店和食品摊贩管理条例》第二十六条第五项：“禁止食品小作坊生产加工下列食品：</w:t>
      </w:r>
      <w:r>
        <w:rPr>
          <w:rFonts w:hint="eastAsia" w:ascii="仿宋_GB2312" w:hAnsi="仿宋_GB2312" w:eastAsia="仿宋_GB2312" w:cs="仿宋_GB2312"/>
          <w:b w:val="0"/>
          <w:bCs w:val="0"/>
          <w:kern w:val="1"/>
          <w:sz w:val="32"/>
          <w:szCs w:val="32"/>
          <w:lang w:val="en-US" w:eastAsia="zh-CN"/>
        </w:rPr>
        <w:t>（五）法律法规</w:t>
      </w:r>
      <w:r>
        <w:rPr>
          <w:rFonts w:hint="eastAsia" w:ascii="仿宋_GB2312" w:hAnsi="仿宋_GB2312" w:eastAsia="仿宋_GB2312" w:cs="仿宋_GB2312"/>
          <w:snapToGrid w:val="0"/>
          <w:color w:val="000000"/>
          <w:spacing w:val="1"/>
          <w:kern w:val="0"/>
          <w:sz w:val="32"/>
          <w:szCs w:val="32"/>
          <w:lang w:val="en-US" w:eastAsia="zh-CN"/>
        </w:rPr>
        <w:t>禁止生产加工的其他食品。”和</w:t>
      </w:r>
      <w:r>
        <w:rPr>
          <w:rFonts w:hint="eastAsia" w:ascii="仿宋_GB2312" w:hAnsi="仿宋_GB2312" w:eastAsia="仿宋_GB2312" w:cs="仿宋_GB2312"/>
          <w:b w:val="0"/>
          <w:bCs w:val="0"/>
          <w:kern w:val="1"/>
          <w:sz w:val="32"/>
          <w:szCs w:val="32"/>
          <w:lang w:val="en-US" w:eastAsia="zh-CN"/>
        </w:rPr>
        <w:t>《中华人民共和国食品安全法》第三十四条第四项：“禁止生产经营下列食品、食品添加剂、食品相关产品：（四）超范围、超限量使用食品添加剂的食品；”</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，属于违法行为。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鉴于当事人在案件办理过程中态度端正，能够积极配合案件</w:t>
      </w:r>
      <w:r>
        <w:rPr>
          <w:rFonts w:hint="eastAsia" w:ascii="仿宋_GB2312" w:hAnsi="仿宋_GB2312" w:eastAsia="仿宋_GB2312" w:cs="仿宋_GB2312"/>
          <w:snapToGrid w:val="0"/>
          <w:color w:val="auto"/>
          <w:spacing w:val="-6"/>
          <w:kern w:val="0"/>
          <w:sz w:val="32"/>
          <w:szCs w:val="32"/>
          <w:u w:val="none" w:color="auto"/>
          <w:lang w:val="en-US" w:eastAsia="zh-CN"/>
        </w:rPr>
        <w:t>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，且认错态度诚恳。当事人的上述情况符合《新疆维吾尔自治区新疆生产建设兵团市场监督管理行政处罚裁量权适用规定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，如实陈述违法事实并主动提供证据材料的；”的规定，综合考虑个案情况、当事人主客观情况等相关因素，坚持处罚与教育相结合的原则，决定给予当事人从轻行政处罚。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依据</w:t>
      </w:r>
      <w:r>
        <w:rPr>
          <w:rFonts w:hint="eastAsia" w:ascii="仿宋_GB2312" w:hAnsi="仿宋_GB2312" w:eastAsia="仿宋_GB2312" w:cs="仿宋_GB2312"/>
          <w:snapToGrid w:val="0"/>
          <w:color w:val="000000"/>
          <w:spacing w:val="1"/>
          <w:kern w:val="0"/>
          <w:sz w:val="32"/>
          <w:szCs w:val="32"/>
          <w:lang w:val="en-US" w:eastAsia="zh-CN"/>
        </w:rPr>
        <w:t>《新疆维吾尔自治区食品小作坊、小餐饮店、小食杂店和食品摊贩管理条例》第四十七条第一款“违反本条例第二十六条、第二十七条、第三十二条规定的，由县级以上人民政府市场监督管理部门没收违法所得和违法生产经营的食品，以及用于违法生产经营的工具、设备、原料等物品；对食品小作坊、小餐饮店并处五千元以上二万元以下罚款；情节严重的，吊销登记证或者注销备案卡。”</w:t>
      </w:r>
      <w:r>
        <w:rPr>
          <w:rFonts w:hint="eastAsia" w:ascii="仿宋_GB2312" w:hAnsi="仿宋_GB2312" w:eastAsia="仿宋_GB2312" w:cs="仿宋_GB2312"/>
          <w:snapToGrid w:val="0"/>
          <w:color w:val="auto"/>
          <w:spacing w:val="1"/>
          <w:kern w:val="0"/>
          <w:sz w:val="32"/>
          <w:szCs w:val="32"/>
          <w:u w:val="none" w:color="auto"/>
          <w:lang w:val="en-US" w:eastAsia="zh-CN"/>
        </w:rPr>
        <w:t>的规定，责令当事人改正违法行为，决定对当事人作出处罚如下：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1.没收当事人违法生产经营的卤猪脸、卤猪耳共计5.7公斤；</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2.没收当事人超范围使用的复配食品添加剂（日落黄）195克（连2个罐）；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31"/>
          <w:w w:val="98"/>
          <w:kern w:val="0"/>
          <w:sz w:val="32"/>
          <w:szCs w:val="32"/>
        </w:rPr>
      </w:pPr>
      <w:r>
        <w:rPr>
          <w:rFonts w:hint="eastAsia" w:ascii="仿宋_GB2312" w:hAnsi="仿宋_GB2312" w:eastAsia="仿宋_GB2312" w:cs="仿宋_GB2312"/>
          <w:snapToGrid w:val="0"/>
          <w:color w:val="auto"/>
          <w:spacing w:val="1"/>
          <w:kern w:val="0"/>
          <w:sz w:val="32"/>
          <w:szCs w:val="32"/>
          <w:u w:val="none" w:color="auto"/>
          <w:lang w:val="en-US" w:eastAsia="zh-CN"/>
        </w:rPr>
        <w:t>3.没收违法所得</w:t>
      </w:r>
      <w:r>
        <w:rPr>
          <w:rFonts w:hint="eastAsia" w:ascii="仿宋_GB2312" w:hAnsi="仿宋_GB2312" w:eastAsia="仿宋_GB2312" w:cs="仿宋_GB2312"/>
          <w:snapToGrid w:val="0"/>
          <w:color w:val="000000"/>
          <w:spacing w:val="1"/>
          <w:kern w:val="0"/>
          <w:sz w:val="32"/>
          <w:szCs w:val="32"/>
          <w:lang w:val="en-US" w:eastAsia="zh-CN"/>
        </w:rPr>
        <w:t>90472.25元；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644" w:firstLineChars="200"/>
        <w:jc w:val="both"/>
        <w:textAlignment w:val="auto"/>
        <w:rPr>
          <w:rFonts w:hint="eastAsia" w:ascii="仿宋_GB2312" w:hAnsi="仿宋_GB2312" w:eastAsia="仿宋_GB2312" w:cs="仿宋_GB2312"/>
          <w:snapToGrid w:val="0"/>
          <w:color w:val="000000"/>
          <w:spacing w:val="-31"/>
          <w:w w:val="98"/>
          <w:kern w:val="0"/>
          <w:sz w:val="32"/>
          <w:szCs w:val="32"/>
        </w:rPr>
      </w:pPr>
      <w:r>
        <w:rPr>
          <w:rFonts w:hint="eastAsia" w:ascii="仿宋_GB2312" w:hAnsi="仿宋_GB2312" w:eastAsia="仿宋_GB2312" w:cs="仿宋_GB2312"/>
          <w:snapToGrid w:val="0"/>
          <w:color w:val="000000"/>
          <w:spacing w:val="1"/>
          <w:kern w:val="0"/>
          <w:sz w:val="32"/>
          <w:szCs w:val="32"/>
          <w:lang w:val="en-US" w:eastAsia="zh-CN"/>
        </w:rPr>
        <w:t>4.罚款5000元</w:t>
      </w:r>
      <w:r>
        <w:rPr>
          <w:rFonts w:hint="eastAsia" w:ascii="仿宋_GB2312" w:hAnsi="仿宋_GB2312" w:eastAsia="仿宋_GB2312" w:cs="仿宋_GB2312"/>
          <w:snapToGrid w:val="0"/>
          <w:color w:val="auto"/>
          <w:spacing w:val="1"/>
          <w:kern w:val="0"/>
          <w:sz w:val="32"/>
          <w:szCs w:val="32"/>
          <w:u w:val="none" w:color="auto"/>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b w:val="0"/>
          <w:bCs w:val="0"/>
          <w:kern w:val="1"/>
          <w:sz w:val="32"/>
          <w:szCs w:val="32"/>
          <w:u w:val="none" w:color="auto"/>
          <w:lang w:val="en-US" w:eastAsia="zh-CN"/>
        </w:rPr>
        <w:t>罚没款合计：95472.25元。</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60" w:lineRule="exact"/>
        <w:ind w:left="0" w:leftChars="0" w:right="0" w:firstLine="4680" w:firstLineChars="1500"/>
        <w:jc w:val="both"/>
        <w:textAlignment w:val="baseline"/>
        <w:outlineLvl w:val="9"/>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2025年9月30日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spacing w:val="-10"/>
          <w:kern w:val="0"/>
          <w:sz w:val="32"/>
          <w:szCs w:val="32"/>
          <w:u w:val="none" w:color="auto"/>
        </w:rPr>
        <w:t>本文书一式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1871"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5439F0"/>
    <w:rsid w:val="043F044A"/>
    <w:rsid w:val="04BA298E"/>
    <w:rsid w:val="04C80C5C"/>
    <w:rsid w:val="05575A53"/>
    <w:rsid w:val="06EC4209"/>
    <w:rsid w:val="071362BC"/>
    <w:rsid w:val="07A71C00"/>
    <w:rsid w:val="07AC1310"/>
    <w:rsid w:val="084107A4"/>
    <w:rsid w:val="087D2605"/>
    <w:rsid w:val="08D5207A"/>
    <w:rsid w:val="08FE22DE"/>
    <w:rsid w:val="09793DBA"/>
    <w:rsid w:val="0A200447"/>
    <w:rsid w:val="0C8E13E2"/>
    <w:rsid w:val="0D250C0F"/>
    <w:rsid w:val="0D4F4DCF"/>
    <w:rsid w:val="0F685444"/>
    <w:rsid w:val="0FDA5E36"/>
    <w:rsid w:val="10C728E2"/>
    <w:rsid w:val="1175072F"/>
    <w:rsid w:val="128B3B8D"/>
    <w:rsid w:val="148D5001"/>
    <w:rsid w:val="15FC2D30"/>
    <w:rsid w:val="163D0603"/>
    <w:rsid w:val="175A2373"/>
    <w:rsid w:val="18D86AC4"/>
    <w:rsid w:val="19661EF5"/>
    <w:rsid w:val="19796B52"/>
    <w:rsid w:val="1A383A3E"/>
    <w:rsid w:val="1AA573AE"/>
    <w:rsid w:val="1B5517A4"/>
    <w:rsid w:val="1C6C7C4F"/>
    <w:rsid w:val="1C9A06CB"/>
    <w:rsid w:val="1CA000C1"/>
    <w:rsid w:val="1D21018F"/>
    <w:rsid w:val="1D407D37"/>
    <w:rsid w:val="1D983D4B"/>
    <w:rsid w:val="1D9F58DF"/>
    <w:rsid w:val="1DBE767B"/>
    <w:rsid w:val="1F4075F6"/>
    <w:rsid w:val="200C4174"/>
    <w:rsid w:val="22166DC8"/>
    <w:rsid w:val="22E931C6"/>
    <w:rsid w:val="236C2C17"/>
    <w:rsid w:val="242755E0"/>
    <w:rsid w:val="247840C7"/>
    <w:rsid w:val="2581222D"/>
    <w:rsid w:val="258A4521"/>
    <w:rsid w:val="26F326B7"/>
    <w:rsid w:val="27A01185"/>
    <w:rsid w:val="27B17E26"/>
    <w:rsid w:val="284537D7"/>
    <w:rsid w:val="2ABC600B"/>
    <w:rsid w:val="2D2105E2"/>
    <w:rsid w:val="2EC3346F"/>
    <w:rsid w:val="2F960D08"/>
    <w:rsid w:val="304506F8"/>
    <w:rsid w:val="31377344"/>
    <w:rsid w:val="31382B8F"/>
    <w:rsid w:val="335E2999"/>
    <w:rsid w:val="33777226"/>
    <w:rsid w:val="33AA474B"/>
    <w:rsid w:val="34BF3558"/>
    <w:rsid w:val="37540268"/>
    <w:rsid w:val="38675A43"/>
    <w:rsid w:val="3AF77600"/>
    <w:rsid w:val="3BB8041A"/>
    <w:rsid w:val="3BD80222"/>
    <w:rsid w:val="3CA822D9"/>
    <w:rsid w:val="3CBD2D1F"/>
    <w:rsid w:val="3D440158"/>
    <w:rsid w:val="3D553A72"/>
    <w:rsid w:val="3DAD3342"/>
    <w:rsid w:val="3EC43742"/>
    <w:rsid w:val="3ED22F0A"/>
    <w:rsid w:val="3FA83DB9"/>
    <w:rsid w:val="3FC735CB"/>
    <w:rsid w:val="40F16FBA"/>
    <w:rsid w:val="41727C0E"/>
    <w:rsid w:val="43604830"/>
    <w:rsid w:val="43D70D2D"/>
    <w:rsid w:val="43E31BDD"/>
    <w:rsid w:val="449E643C"/>
    <w:rsid w:val="45C47EED"/>
    <w:rsid w:val="46671088"/>
    <w:rsid w:val="48C4214E"/>
    <w:rsid w:val="49112047"/>
    <w:rsid w:val="493F437F"/>
    <w:rsid w:val="4AEE30A5"/>
    <w:rsid w:val="4BC00B8E"/>
    <w:rsid w:val="4BEB4BA0"/>
    <w:rsid w:val="4C3E6663"/>
    <w:rsid w:val="4DA14016"/>
    <w:rsid w:val="4DBF6B93"/>
    <w:rsid w:val="4DFD7BE4"/>
    <w:rsid w:val="4E2B1F0C"/>
    <w:rsid w:val="4E9A4E28"/>
    <w:rsid w:val="4EA14EAB"/>
    <w:rsid w:val="4EAA15AB"/>
    <w:rsid w:val="4ED87D88"/>
    <w:rsid w:val="4EE638F1"/>
    <w:rsid w:val="4FB42966"/>
    <w:rsid w:val="4FE318BC"/>
    <w:rsid w:val="50F00E1B"/>
    <w:rsid w:val="520E1E36"/>
    <w:rsid w:val="52F37E64"/>
    <w:rsid w:val="533F317C"/>
    <w:rsid w:val="554255B7"/>
    <w:rsid w:val="568E6152"/>
    <w:rsid w:val="56E8641D"/>
    <w:rsid w:val="57DA57AF"/>
    <w:rsid w:val="587F1B00"/>
    <w:rsid w:val="58FA5BEF"/>
    <w:rsid w:val="5A184997"/>
    <w:rsid w:val="5B673E9E"/>
    <w:rsid w:val="5C3B6135"/>
    <w:rsid w:val="5C8277BD"/>
    <w:rsid w:val="5C9A47A5"/>
    <w:rsid w:val="5CE82AC0"/>
    <w:rsid w:val="5FA23832"/>
    <w:rsid w:val="60E8769B"/>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A53AB"/>
    <w:rsid w:val="6A0E0365"/>
    <w:rsid w:val="6B2600C2"/>
    <w:rsid w:val="6BCC1122"/>
    <w:rsid w:val="6C321B86"/>
    <w:rsid w:val="6ED559D3"/>
    <w:rsid w:val="6FD47C59"/>
    <w:rsid w:val="70986EE6"/>
    <w:rsid w:val="717125DB"/>
    <w:rsid w:val="7190267C"/>
    <w:rsid w:val="71A06E04"/>
    <w:rsid w:val="72472FC3"/>
    <w:rsid w:val="73024EDB"/>
    <w:rsid w:val="740D475F"/>
    <w:rsid w:val="752508A7"/>
    <w:rsid w:val="756D24F0"/>
    <w:rsid w:val="759F009B"/>
    <w:rsid w:val="781167E8"/>
    <w:rsid w:val="78B32C1C"/>
    <w:rsid w:val="795573E8"/>
    <w:rsid w:val="79607D2E"/>
    <w:rsid w:val="7A850F42"/>
    <w:rsid w:val="7AFA6B98"/>
    <w:rsid w:val="7BD012B5"/>
    <w:rsid w:val="7BDA358B"/>
    <w:rsid w:val="7C031BAC"/>
    <w:rsid w:val="7C92616D"/>
    <w:rsid w:val="7CAF77A0"/>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3403</Words>
  <Characters>3692</Characters>
  <Lines>0</Lines>
  <Paragraphs>0</Paragraphs>
  <TotalTime>2</TotalTime>
  <ScaleCrop>false</ScaleCrop>
  <LinksUpToDate>false</LinksUpToDate>
  <CharactersWithSpaces>4235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2025-07-10T09:18:00Z</cp:lastPrinted>
  <dcterms:modified xsi:type="dcterms:W3CDTF">2025-10-23T10:19:58Z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