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20" w:lineRule="exact"/>
        <w:jc w:val="center"/>
        <w:textAlignment w:val="auto"/>
        <w:rPr>
          <w:rFonts w:hint="eastAsia" w:ascii="方正小标宋简体" w:hAnsi="方正小标宋简体" w:eastAsia="方正小标宋简体" w:cs="方正小标宋简体"/>
          <w:b w:val="0"/>
          <w:bCs/>
          <w:color w:val="auto"/>
          <w:spacing w:val="20"/>
          <w:sz w:val="36"/>
          <w:szCs w:val="36"/>
        </w:rPr>
      </w:pPr>
      <w:r>
        <w:rPr>
          <w:rFonts w:hint="eastAsia" w:ascii="方正小标宋简体" w:hAnsi="方正小标宋简体" w:eastAsia="方正小标宋简体" w:cs="方正小标宋简体"/>
          <w:b w:val="0"/>
          <w:bCs/>
          <w:color w:val="auto"/>
          <w:spacing w:val="20"/>
          <w:sz w:val="36"/>
          <w:szCs w:val="36"/>
        </w:rPr>
        <w:t>行政处罚决定书</w:t>
      </w:r>
    </w:p>
    <w:p>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仿宋_GB2312" w:hAnsi="仿宋_GB2312" w:eastAsia="仿宋_GB2312"/>
          <w:color w:val="auto"/>
          <w:sz w:val="24"/>
        </w:rPr>
      </w:pPr>
      <w:r>
        <w:rPr>
          <w:rFonts w:hint="eastAsia" w:ascii="仿宋_GB2312" w:hAnsi="仿宋_GB2312" w:eastAsia="仿宋_GB2312"/>
          <w:color w:val="auto"/>
          <w:sz w:val="24"/>
        </w:rPr>
        <w:t>（</w:t>
      </w:r>
      <w:r>
        <w:rPr>
          <w:rFonts w:hint="eastAsia" w:ascii="仿宋_GB2312" w:hAnsi="仿宋_GB2312" w:eastAsia="仿宋_GB2312"/>
          <w:color w:val="auto"/>
          <w:sz w:val="24"/>
          <w:lang w:val="en-US" w:eastAsia="zh-CN"/>
        </w:rPr>
        <w:t>乌苏市</w:t>
      </w:r>
      <w:r>
        <w:rPr>
          <w:rFonts w:hint="eastAsia" w:ascii="仿宋_GB2312" w:hAnsi="仿宋_GB2312" w:eastAsia="仿宋_GB2312"/>
          <w:color w:val="auto"/>
          <w:sz w:val="24"/>
        </w:rPr>
        <w:t>）文</w:t>
      </w:r>
      <w:r>
        <w:rPr>
          <w:rFonts w:hint="eastAsia" w:ascii="仿宋_GB2312" w:hAnsi="仿宋_GB2312" w:eastAsia="仿宋_GB2312"/>
          <w:bCs/>
          <w:color w:val="auto"/>
          <w:kern w:val="0"/>
          <w:sz w:val="24"/>
          <w:lang w:eastAsia="zh-CN"/>
        </w:rPr>
        <w:t>综</w:t>
      </w:r>
      <w:r>
        <w:rPr>
          <w:rFonts w:hint="eastAsia" w:ascii="仿宋_GB2312" w:hAnsi="仿宋_GB2312" w:eastAsia="仿宋_GB2312"/>
          <w:color w:val="auto"/>
          <w:sz w:val="24"/>
        </w:rPr>
        <w:t>罚字〔</w:t>
      </w:r>
      <w:r>
        <w:rPr>
          <w:rFonts w:hint="eastAsia" w:ascii="仿宋_GB2312" w:hAnsi="仿宋_GB2312" w:eastAsia="仿宋_GB2312"/>
          <w:color w:val="auto"/>
          <w:sz w:val="24"/>
          <w:lang w:val="en-US" w:eastAsia="zh-CN"/>
        </w:rPr>
        <w:t>2025</w:t>
      </w:r>
      <w:r>
        <w:rPr>
          <w:rFonts w:hint="eastAsia" w:ascii="仿宋_GB2312" w:hAnsi="仿宋_GB2312" w:eastAsia="仿宋_GB2312"/>
          <w:color w:val="auto"/>
          <w:sz w:val="24"/>
        </w:rPr>
        <w:t>〕</w:t>
      </w:r>
      <w:r>
        <w:rPr>
          <w:rFonts w:hint="eastAsia" w:ascii="仿宋_GB2312" w:hAnsi="仿宋_GB2312" w:eastAsia="仿宋_GB2312"/>
          <w:color w:val="auto"/>
          <w:sz w:val="24"/>
          <w:lang w:val="en-US" w:eastAsia="zh-CN"/>
        </w:rPr>
        <w:t>000008</w:t>
      </w:r>
      <w:r>
        <w:rPr>
          <w:rFonts w:hint="eastAsia" w:ascii="仿宋_GB2312" w:hAnsi="仿宋_GB2312" w:eastAsia="仿宋_GB2312"/>
          <w:color w:val="auto"/>
          <w:sz w:val="24"/>
        </w:rPr>
        <w:t>号</w:t>
      </w:r>
    </w:p>
    <w:p>
      <w:pPr>
        <w:keepNext w:val="0"/>
        <w:keepLines w:val="0"/>
        <w:pageBreakBefore w:val="0"/>
        <w:widowControl w:val="0"/>
        <w:kinsoku/>
        <w:overflowPunct/>
        <w:topLinePunct w:val="0"/>
        <w:autoSpaceDE/>
        <w:autoSpaceDN/>
        <w:bidi w:val="0"/>
        <w:adjustRightInd/>
        <w:spacing w:line="520" w:lineRule="exact"/>
        <w:ind w:right="-78" w:rightChars="-37"/>
        <w:textAlignment w:val="auto"/>
        <w:rPr>
          <w:rFonts w:hint="eastAsia" w:ascii="仿宋_GB2312" w:hAnsi="宋体" w:eastAsia="仿宋_GB2312" w:cs="Times New Roman"/>
          <w:color w:val="auto"/>
          <w:sz w:val="24"/>
          <w:u w:val="single"/>
        </w:rPr>
      </w:pPr>
      <w:r>
        <w:rPr>
          <w:rFonts w:hint="eastAsia" w:ascii="仿宋_GB2312" w:hAnsi="宋体" w:eastAsia="仿宋_GB2312" w:cs="Times New Roman"/>
          <w:bCs/>
          <w:color w:val="auto"/>
          <w:sz w:val="24"/>
        </w:rPr>
        <w:t>当事人：</w:t>
      </w:r>
      <w:r>
        <w:rPr>
          <w:rFonts w:hint="eastAsia" w:ascii="仿宋_GB2312" w:hAnsi="宋体" w:eastAsia="仿宋_GB2312" w:cs="Times New Roman"/>
          <w:color w:val="auto"/>
          <w:sz w:val="24"/>
          <w:u w:val="single"/>
          <w:lang w:eastAsia="zh-CN"/>
        </w:rPr>
        <w:t>乌苏市来喜三元商店（吐尔洪江·</w:t>
      </w:r>
      <w:r>
        <w:rPr>
          <w:rFonts w:hint="eastAsia" w:ascii="仿宋_GB2312" w:hAnsi="宋体" w:eastAsia="仿宋_GB2312" w:cs="Times New Roman"/>
          <w:color w:val="auto"/>
          <w:sz w:val="24"/>
          <w:u w:val="single"/>
          <w:lang w:val="en-US" w:eastAsia="zh-CN"/>
        </w:rPr>
        <w:t>**</w:t>
      </w:r>
      <w:r>
        <w:rPr>
          <w:rFonts w:hint="eastAsia" w:ascii="仿宋_GB2312" w:hAnsi="宋体" w:eastAsia="仿宋_GB2312" w:cs="Times New Roman"/>
          <w:color w:val="auto"/>
          <w:sz w:val="24"/>
          <w:u w:val="single"/>
          <w:lang w:eastAsia="zh-CN"/>
        </w:rPr>
        <w:t>吐松）</w:t>
      </w:r>
      <w:r>
        <w:rPr>
          <w:rFonts w:hint="eastAsia" w:ascii="仿宋_GB2312" w:hAnsi="宋体" w:eastAsia="仿宋_GB2312" w:cs="Times New Roman"/>
          <w:color w:val="auto"/>
          <w:sz w:val="24"/>
          <w:u w:val="single"/>
        </w:rPr>
        <w:t>　</w:t>
      </w:r>
      <w:r>
        <w:rPr>
          <w:rFonts w:hint="eastAsia" w:ascii="仿宋_GB2312" w:hAnsi="宋体" w:eastAsia="仿宋_GB2312" w:cs="Times New Roman"/>
          <w:color w:val="auto"/>
          <w:sz w:val="24"/>
          <w:u w:val="single"/>
          <w:lang w:val="en-US" w:eastAsia="zh-CN"/>
        </w:rPr>
        <w:t xml:space="preserve">                                                     </w:t>
      </w:r>
      <w:r>
        <w:rPr>
          <w:rFonts w:hint="eastAsia" w:ascii="仿宋_GB2312" w:hAnsi="宋体" w:eastAsia="仿宋_GB2312" w:cs="Times New Roman"/>
          <w:color w:val="auto"/>
          <w:sz w:val="24"/>
          <w:u w:val="single"/>
        </w:rPr>
        <w:t>　</w:t>
      </w:r>
    </w:p>
    <w:p>
      <w:pPr>
        <w:keepNext w:val="0"/>
        <w:keepLines w:val="0"/>
        <w:pageBreakBefore w:val="0"/>
        <w:widowControl w:val="0"/>
        <w:kinsoku/>
        <w:wordWrap/>
        <w:overflowPunct/>
        <w:topLinePunct w:val="0"/>
        <w:autoSpaceDE/>
        <w:autoSpaceDN/>
        <w:bidi w:val="0"/>
        <w:spacing w:line="520" w:lineRule="exact"/>
        <w:ind w:right="-78" w:rightChars="-37"/>
        <w:textAlignment w:val="auto"/>
        <w:rPr>
          <w:rFonts w:hint="default" w:ascii="仿宋_GB2312" w:hAnsi="宋体" w:eastAsia="仿宋_GB2312"/>
          <w:color w:val="auto"/>
          <w:sz w:val="24"/>
          <w:lang w:val="en-US" w:eastAsia="zh-CN"/>
        </w:rPr>
      </w:pPr>
      <w:r>
        <w:rPr>
          <w:rFonts w:hint="eastAsia" w:ascii="仿宋_GB2312" w:hAnsi="宋体" w:eastAsia="仿宋_GB2312"/>
          <w:color w:val="auto"/>
          <w:sz w:val="24"/>
          <w:lang w:eastAsia="zh-CN"/>
        </w:rPr>
        <w:t>证照（证件）名称及编号（号码）</w:t>
      </w:r>
      <w:r>
        <w:rPr>
          <w:rFonts w:hint="eastAsia" w:ascii="仿宋_GB2312" w:hAnsi="宋体" w:eastAsia="仿宋_GB2312"/>
          <w:color w:val="auto"/>
          <w:sz w:val="24"/>
        </w:rPr>
        <w:t>：</w:t>
      </w:r>
      <w:r>
        <w:rPr>
          <w:rFonts w:hint="eastAsia" w:ascii="仿宋_GB2312" w:hAnsi="宋体" w:eastAsia="仿宋_GB2312"/>
          <w:color w:val="auto"/>
          <w:sz w:val="24"/>
          <w:u w:val="single"/>
        </w:rPr>
        <w:t>营业执照（92654202MAE1RY</w:t>
      </w:r>
      <w:r>
        <w:rPr>
          <w:rFonts w:hint="eastAsia" w:ascii="仿宋_GB2312" w:hAnsi="宋体" w:eastAsia="仿宋_GB2312"/>
          <w:color w:val="auto"/>
          <w:sz w:val="24"/>
          <w:u w:val="single"/>
          <w:lang w:val="en-US" w:eastAsia="zh-CN"/>
        </w:rPr>
        <w:t>****</w:t>
      </w:r>
      <w:r>
        <w:rPr>
          <w:rFonts w:hint="eastAsia" w:ascii="仿宋_GB2312" w:hAnsi="宋体" w:eastAsia="仿宋_GB2312"/>
          <w:color w:val="auto"/>
          <w:sz w:val="24"/>
          <w:u w:val="single"/>
        </w:rPr>
        <w:t>）</w:t>
      </w:r>
      <w:r>
        <w:rPr>
          <w:rFonts w:hint="eastAsia" w:ascii="仿宋_GB2312" w:hAnsi="宋体" w:eastAsia="仿宋_GB2312"/>
          <w:color w:val="auto"/>
          <w:sz w:val="24"/>
          <w:u w:val="single"/>
          <w:lang w:val="en-US" w:eastAsia="zh-CN"/>
        </w:rPr>
        <w:t xml:space="preserve">              </w:t>
      </w:r>
    </w:p>
    <w:p>
      <w:pPr>
        <w:keepNext w:val="0"/>
        <w:keepLines w:val="0"/>
        <w:pageBreakBefore w:val="0"/>
        <w:widowControl w:val="0"/>
        <w:kinsoku/>
        <w:overflowPunct/>
        <w:topLinePunct w:val="0"/>
        <w:autoSpaceDE/>
        <w:autoSpaceDN/>
        <w:bidi w:val="0"/>
        <w:adjustRightInd/>
        <w:spacing w:line="520" w:lineRule="exact"/>
        <w:ind w:right="-78" w:rightChars="-37"/>
        <w:textAlignment w:val="auto"/>
        <w:rPr>
          <w:rFonts w:hint="default" w:ascii="仿宋_GB2312" w:hAnsi="宋体" w:eastAsia="仿宋_GB2312" w:cs="Times New Roman"/>
          <w:color w:val="auto"/>
          <w:sz w:val="24"/>
          <w:u w:val="single"/>
          <w:lang w:val="en-US" w:eastAsia="zh-CN"/>
        </w:rPr>
      </w:pPr>
      <w:r>
        <w:rPr>
          <w:rFonts w:hint="eastAsia" w:ascii="仿宋_GB2312" w:hAnsi="宋体" w:eastAsia="仿宋_GB2312" w:cs="Times New Roman"/>
          <w:bCs/>
          <w:color w:val="auto"/>
          <w:sz w:val="24"/>
        </w:rPr>
        <w:t>法定代表人</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负责人</w:t>
      </w:r>
      <w:r>
        <w:rPr>
          <w:rFonts w:hint="eastAsia" w:ascii="仿宋_GB2312" w:hAnsi="仿宋_GB2312" w:eastAsia="仿宋_GB2312" w:cs="仿宋_GB2312"/>
          <w:color w:val="auto"/>
          <w:sz w:val="24"/>
          <w:lang w:eastAsia="zh-CN"/>
        </w:rPr>
        <w:t>等）</w:t>
      </w:r>
      <w:r>
        <w:rPr>
          <w:rFonts w:hint="eastAsia" w:ascii="仿宋_GB2312" w:hAnsi="宋体" w:eastAsia="仿宋_GB2312" w:cs="Times New Roman"/>
          <w:bCs/>
          <w:color w:val="auto"/>
          <w:sz w:val="24"/>
        </w:rPr>
        <w:t>：</w:t>
      </w:r>
      <w:r>
        <w:rPr>
          <w:rFonts w:hint="eastAsia" w:ascii="仿宋_GB2312" w:hAnsi="宋体" w:eastAsia="仿宋_GB2312" w:cs="Times New Roman"/>
          <w:color w:val="auto"/>
          <w:sz w:val="24"/>
          <w:u w:val="single"/>
          <w:lang w:eastAsia="zh-CN"/>
        </w:rPr>
        <w:t>吐尔洪江·</w:t>
      </w:r>
      <w:r>
        <w:rPr>
          <w:rFonts w:hint="eastAsia" w:ascii="仿宋_GB2312" w:hAnsi="宋体" w:eastAsia="仿宋_GB2312" w:cs="Times New Roman"/>
          <w:color w:val="auto"/>
          <w:sz w:val="24"/>
          <w:u w:val="single"/>
          <w:lang w:val="en-US" w:eastAsia="zh-CN"/>
        </w:rPr>
        <w:t>**</w:t>
      </w:r>
      <w:r>
        <w:rPr>
          <w:rFonts w:hint="eastAsia" w:ascii="仿宋_GB2312" w:hAnsi="宋体" w:eastAsia="仿宋_GB2312" w:cs="Times New Roman"/>
          <w:color w:val="auto"/>
          <w:sz w:val="24"/>
          <w:u w:val="single"/>
          <w:lang w:eastAsia="zh-CN"/>
        </w:rPr>
        <w:t>吐松</w:t>
      </w:r>
      <w:r>
        <w:rPr>
          <w:rFonts w:hint="eastAsia" w:ascii="仿宋_GB2312" w:hAnsi="宋体" w:eastAsia="仿宋_GB2312" w:cs="Times New Roman"/>
          <w:color w:val="auto"/>
          <w:sz w:val="24"/>
          <w:u w:val="single"/>
        </w:rPr>
        <w:t>　</w:t>
      </w:r>
      <w:r>
        <w:rPr>
          <w:rFonts w:hint="eastAsia" w:ascii="仿宋_GB2312" w:hAnsi="宋体" w:eastAsia="仿宋_GB2312" w:cs="Times New Roman"/>
          <w:color w:val="auto"/>
          <w:sz w:val="24"/>
          <w:u w:val="single"/>
          <w:lang w:val="en-US" w:eastAsia="zh-CN"/>
        </w:rPr>
        <w:t xml:space="preserve">                                                  </w:t>
      </w:r>
    </w:p>
    <w:p>
      <w:pPr>
        <w:keepNext w:val="0"/>
        <w:keepLines w:val="0"/>
        <w:pageBreakBefore w:val="0"/>
        <w:widowControl w:val="0"/>
        <w:kinsoku/>
        <w:overflowPunct/>
        <w:topLinePunct w:val="0"/>
        <w:autoSpaceDE/>
        <w:autoSpaceDN/>
        <w:bidi w:val="0"/>
        <w:adjustRightInd/>
        <w:spacing w:line="520" w:lineRule="exact"/>
        <w:ind w:right="-78" w:rightChars="-37"/>
        <w:textAlignment w:val="auto"/>
        <w:rPr>
          <w:rFonts w:hint="eastAsia" w:ascii="仿宋_GB2312" w:hAnsi="宋体" w:eastAsia="仿宋_GB2312" w:cs="宋体"/>
          <w:color w:val="auto"/>
          <w:kern w:val="0"/>
          <w:sz w:val="24"/>
        </w:rPr>
      </w:pPr>
      <w:r>
        <w:rPr>
          <w:rFonts w:hint="eastAsia" w:ascii="仿宋_GB2312" w:hAnsi="宋体" w:eastAsia="仿宋_GB2312" w:cs="宋体"/>
          <w:bCs/>
          <w:color w:val="auto"/>
          <w:spacing w:val="0"/>
          <w:kern w:val="0"/>
          <w:sz w:val="24"/>
        </w:rPr>
        <w:t>住所（住址</w:t>
      </w:r>
      <w:r>
        <w:rPr>
          <w:rFonts w:hint="eastAsia" w:ascii="仿宋_GB2312" w:hAnsi="宋体" w:eastAsia="仿宋_GB2312" w:cs="宋体"/>
          <w:bCs/>
          <w:color w:val="auto"/>
          <w:spacing w:val="0"/>
          <w:kern w:val="0"/>
          <w:sz w:val="24"/>
          <w:lang w:eastAsia="zh-CN"/>
        </w:rPr>
        <w:t>等</w:t>
      </w:r>
      <w:r>
        <w:rPr>
          <w:rFonts w:hint="eastAsia" w:ascii="仿宋_GB2312" w:hAnsi="宋体" w:eastAsia="仿宋_GB2312" w:cs="宋体"/>
          <w:bCs/>
          <w:color w:val="auto"/>
          <w:spacing w:val="0"/>
          <w:kern w:val="0"/>
          <w:sz w:val="24"/>
        </w:rPr>
        <w:t>）</w:t>
      </w:r>
      <w:r>
        <w:rPr>
          <w:rFonts w:hint="eastAsia" w:ascii="仿宋_GB2312" w:hAnsi="宋体" w:eastAsia="仿宋_GB2312" w:cs="宋体"/>
          <w:bCs/>
          <w:color w:val="auto"/>
          <w:kern w:val="0"/>
          <w:sz w:val="24"/>
        </w:rPr>
        <w:t>：</w:t>
      </w:r>
      <w:r>
        <w:rPr>
          <w:rFonts w:hint="eastAsia" w:ascii="仿宋_GB2312" w:hAnsi="宋体" w:eastAsia="仿宋_GB2312" w:cs="Times New Roman"/>
          <w:color w:val="auto"/>
          <w:sz w:val="24"/>
          <w:u w:val="single"/>
          <w:lang w:eastAsia="zh-CN"/>
        </w:rPr>
        <w:t>新疆维吾尔自治区塔城地区乌苏市新市区街道文景路社区重庆路</w:t>
      </w:r>
      <w:r>
        <w:rPr>
          <w:rFonts w:hint="eastAsia" w:ascii="仿宋_GB2312" w:hAnsi="宋体" w:eastAsia="仿宋_GB2312" w:cs="Times New Roman"/>
          <w:color w:val="auto"/>
          <w:sz w:val="24"/>
          <w:u w:val="single"/>
          <w:lang w:val="en-US" w:eastAsia="zh-CN"/>
        </w:rPr>
        <w:t>**</w:t>
      </w:r>
      <w:r>
        <w:rPr>
          <w:rFonts w:hint="eastAsia" w:ascii="仿宋_GB2312" w:hAnsi="宋体" w:eastAsia="仿宋_GB2312" w:cs="Times New Roman"/>
          <w:color w:val="auto"/>
          <w:sz w:val="24"/>
          <w:u w:val="single"/>
          <w:lang w:eastAsia="zh-CN"/>
        </w:rPr>
        <w:t>号</w:t>
      </w:r>
      <w:r>
        <w:rPr>
          <w:rFonts w:hint="eastAsia" w:ascii="仿宋_GB2312" w:hAnsi="宋体" w:eastAsia="仿宋_GB2312" w:cs="Times New Roman"/>
          <w:color w:val="auto"/>
          <w:sz w:val="24"/>
          <w:u w:val="single"/>
          <w:lang w:val="en-US" w:eastAsia="zh-CN"/>
        </w:rPr>
        <w:t xml:space="preserve">                                                                  </w:t>
      </w:r>
      <w:r>
        <w:rPr>
          <w:rFonts w:hint="eastAsia" w:ascii="仿宋_GB2312" w:hAnsi="宋体" w:eastAsia="仿宋_GB2312" w:cs="Times New Roman"/>
          <w:color w:val="auto"/>
          <w:sz w:val="24"/>
          <w:u w:val="single"/>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right="206" w:rightChars="98" w:firstLine="480" w:firstLineChars="200"/>
        <w:jc w:val="left"/>
        <w:textAlignment w:val="auto"/>
        <w:rPr>
          <w:rFonts w:hint="default" w:ascii="仿宋_GB2312" w:eastAsia="仿宋_GB2312"/>
          <w:color w:val="auto"/>
          <w:sz w:val="24"/>
          <w:szCs w:val="32"/>
          <w:u w:val="single"/>
          <w:lang w:val="en-US" w:eastAsia="zh-CN"/>
        </w:rPr>
      </w:pPr>
      <w:r>
        <w:rPr>
          <w:rFonts w:hint="eastAsia" w:ascii="仿宋_GB2312" w:eastAsia="仿宋_GB2312"/>
          <w:color w:val="auto"/>
          <w:sz w:val="24"/>
          <w:szCs w:val="32"/>
        </w:rPr>
        <w:t>（违法事实和证据）</w:t>
      </w:r>
      <w:r>
        <w:rPr>
          <w:rFonts w:hint="eastAsia" w:ascii="仿宋_GB2312" w:eastAsia="仿宋_GB2312"/>
          <w:color w:val="auto"/>
          <w:sz w:val="24"/>
          <w:szCs w:val="32"/>
          <w:u w:val="single"/>
        </w:rPr>
        <w:t>2025年9月16日17时51分至2025年9月16日18时02分，乌苏市文化体育广播电视和旅游局执法人员张怀然（31130221011），木巴尔·乌扎尔（31130221016）在出示执法证件后，依法对乌苏市来喜三元商店进行检查，该经营场所正常经营，持有《营业执照》</w:t>
      </w:r>
      <w:r>
        <w:rPr>
          <w:rFonts w:hint="eastAsia" w:ascii="仿宋_GB2312" w:eastAsia="仿宋_GB2312"/>
          <w:color w:val="auto"/>
          <w:sz w:val="24"/>
          <w:szCs w:val="32"/>
          <w:u w:val="single"/>
          <w:lang w:eastAsia="zh-CN"/>
        </w:rPr>
        <w:t>统一社会信用代码</w:t>
      </w:r>
      <w:r>
        <w:rPr>
          <w:rFonts w:hint="eastAsia" w:ascii="仿宋_GB2312" w:eastAsia="仿宋_GB2312"/>
          <w:color w:val="auto"/>
          <w:sz w:val="24"/>
          <w:szCs w:val="32"/>
          <w:u w:val="single"/>
        </w:rPr>
        <w:t>为92654202MAE1RYRH4Q，但在检查过程中发现该店无《出版物经营许可证》发行出版物，当事人涉嫌未经批准擅自从事出版物发行业务的行为涉嫌违反了《出版物市场管理规定》第三条“国家对出版物发行依法实行许可制度</w:t>
      </w:r>
      <w:r>
        <w:rPr>
          <w:rFonts w:hint="eastAsia" w:ascii="仿宋_GB2312" w:eastAsia="仿宋_GB2312"/>
          <w:color w:val="auto"/>
          <w:sz w:val="24"/>
          <w:szCs w:val="32"/>
          <w:u w:val="single"/>
          <w:lang w:eastAsia="zh-CN"/>
        </w:rPr>
        <w:t>，</w:t>
      </w:r>
      <w:r>
        <w:rPr>
          <w:rFonts w:hint="eastAsia" w:ascii="仿宋_GB2312" w:eastAsia="仿宋_GB2312"/>
          <w:color w:val="auto"/>
          <w:sz w:val="24"/>
          <w:szCs w:val="32"/>
          <w:u w:val="single"/>
        </w:rPr>
        <w:t>未经许可</w:t>
      </w:r>
      <w:r>
        <w:rPr>
          <w:rFonts w:hint="eastAsia" w:ascii="仿宋_GB2312" w:eastAsia="仿宋_GB2312"/>
          <w:color w:val="auto"/>
          <w:sz w:val="24"/>
          <w:szCs w:val="32"/>
          <w:u w:val="single"/>
          <w:lang w:eastAsia="zh-CN"/>
        </w:rPr>
        <w:t>，</w:t>
      </w:r>
      <w:r>
        <w:rPr>
          <w:rFonts w:hint="eastAsia" w:ascii="仿宋_GB2312" w:eastAsia="仿宋_GB2312"/>
          <w:color w:val="auto"/>
          <w:sz w:val="24"/>
          <w:szCs w:val="32"/>
          <w:u w:val="single"/>
        </w:rPr>
        <w:t>任何单位和个人不得从事出版物发行活动。”的规定和《中华人民共和国著作权法》第五十三条第一项的规定。执法人员对现场负责人吐尔洪江·</w:t>
      </w:r>
      <w:r>
        <w:rPr>
          <w:rFonts w:hint="eastAsia" w:ascii="仿宋_GB2312" w:eastAsia="仿宋_GB2312"/>
          <w:color w:val="auto"/>
          <w:sz w:val="24"/>
          <w:szCs w:val="32"/>
          <w:u w:val="single"/>
          <w:lang w:val="en-US" w:eastAsia="zh-CN"/>
        </w:rPr>
        <w:t>**</w:t>
      </w:r>
      <w:r>
        <w:rPr>
          <w:rFonts w:hint="eastAsia" w:ascii="仿宋_GB2312" w:eastAsia="仿宋_GB2312"/>
          <w:color w:val="auto"/>
          <w:sz w:val="24"/>
          <w:szCs w:val="32"/>
          <w:u w:val="single"/>
        </w:rPr>
        <w:t>吐松进行调查询问，负责人表示其店共购入图书57本，以每本1.5元进的，且该57本图书尚未进行销售。执法人员对上述57本图书依法实施暂扣措施，并现场下达责令改正通知书一份和调查询问通知书一份，待进一步调查，全程使用执法记录仪记录，并对相关物品进行拍照取证，当事人吐尔洪江·</w:t>
      </w:r>
      <w:r>
        <w:rPr>
          <w:rFonts w:hint="eastAsia" w:ascii="仿宋_GB2312" w:eastAsia="仿宋_GB2312"/>
          <w:color w:val="auto"/>
          <w:sz w:val="24"/>
          <w:szCs w:val="32"/>
          <w:u w:val="single"/>
          <w:lang w:val="en-US" w:eastAsia="zh-CN"/>
        </w:rPr>
        <w:t>**</w:t>
      </w:r>
      <w:r>
        <w:rPr>
          <w:rFonts w:hint="eastAsia" w:ascii="仿宋_GB2312" w:eastAsia="仿宋_GB2312"/>
          <w:color w:val="auto"/>
          <w:sz w:val="24"/>
          <w:szCs w:val="32"/>
          <w:u w:val="single"/>
        </w:rPr>
        <w:t>吐松见证了整个检查过程。</w:t>
      </w:r>
      <w:r>
        <w:rPr>
          <w:rFonts w:hint="eastAsia" w:ascii="仿宋_GB2312" w:eastAsia="仿宋_GB2312"/>
          <w:color w:val="auto"/>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right="19" w:rightChars="9" w:firstLine="480" w:firstLineChars="200"/>
        <w:jc w:val="both"/>
        <w:textAlignment w:val="auto"/>
        <w:rPr>
          <w:rFonts w:hint="eastAsia" w:ascii="仿宋_GB2312" w:eastAsia="仿宋_GB2312"/>
          <w:color w:val="auto"/>
          <w:sz w:val="24"/>
          <w:szCs w:val="32"/>
          <w:u w:val="single"/>
          <w:lang w:val="en-US" w:eastAsia="zh-CN"/>
        </w:rPr>
      </w:pPr>
      <w:r>
        <w:rPr>
          <w:rFonts w:hint="eastAsia" w:ascii="仿宋_GB2312" w:eastAsia="仿宋_GB2312"/>
          <w:color w:val="auto"/>
          <w:sz w:val="24"/>
          <w:szCs w:val="32"/>
          <w:u w:val="single"/>
          <w:lang w:val="en-US" w:eastAsia="zh-CN"/>
        </w:rPr>
        <w:t xml:space="preserve">2025年9月17日，乌苏市来喜三元商店负责人吐尔洪江·**吐松接受了乌苏市文化市场综合行政执法队执法人员的调查询问，对执法人员在其经营场所执法检查情况予以确认。当事人吐尔洪江·**吐松对执法人员在其场所进行证据先行登记保存的出版物图书共计57本，以每本1.5元进的，且该57本图书尚未进行销售的事实予以确认。                                            </w:t>
      </w:r>
    </w:p>
    <w:p>
      <w:pPr>
        <w:keepNext w:val="0"/>
        <w:keepLines w:val="0"/>
        <w:pageBreakBefore w:val="0"/>
        <w:widowControl w:val="0"/>
        <w:kinsoku/>
        <w:wordWrap/>
        <w:overflowPunct/>
        <w:topLinePunct w:val="0"/>
        <w:autoSpaceDE/>
        <w:autoSpaceDN/>
        <w:bidi w:val="0"/>
        <w:adjustRightInd w:val="0"/>
        <w:snapToGrid w:val="0"/>
        <w:spacing w:line="520" w:lineRule="exact"/>
        <w:ind w:right="19" w:rightChars="9" w:firstLine="480" w:firstLineChars="200"/>
        <w:jc w:val="both"/>
        <w:textAlignment w:val="auto"/>
        <w:rPr>
          <w:rFonts w:hint="eastAsia" w:ascii="仿宋_GB2312" w:eastAsia="仿宋_GB2312"/>
          <w:color w:val="auto"/>
          <w:sz w:val="24"/>
          <w:szCs w:val="32"/>
          <w:u w:val="single"/>
          <w:lang w:val="en-US" w:eastAsia="zh-CN"/>
        </w:rPr>
      </w:pPr>
      <w:r>
        <w:rPr>
          <w:rFonts w:hint="eastAsia" w:ascii="仿宋_GB2312" w:eastAsia="仿宋_GB2312"/>
          <w:color w:val="auto"/>
          <w:sz w:val="24"/>
          <w:szCs w:val="32"/>
          <w:u w:val="single"/>
          <w:lang w:val="en-US" w:eastAsia="zh-CN"/>
        </w:rPr>
        <w:t xml:space="preserve">以上事实，有以下证据证实：                                             </w:t>
      </w:r>
    </w:p>
    <w:p>
      <w:pPr>
        <w:keepNext w:val="0"/>
        <w:keepLines w:val="0"/>
        <w:pageBreakBefore w:val="0"/>
        <w:widowControl w:val="0"/>
        <w:kinsoku/>
        <w:wordWrap/>
        <w:overflowPunct/>
        <w:topLinePunct w:val="0"/>
        <w:autoSpaceDE/>
        <w:autoSpaceDN/>
        <w:bidi w:val="0"/>
        <w:adjustRightInd w:val="0"/>
        <w:snapToGrid w:val="0"/>
        <w:spacing w:line="520" w:lineRule="exact"/>
        <w:ind w:right="19" w:rightChars="9" w:firstLine="480" w:firstLineChars="200"/>
        <w:jc w:val="both"/>
        <w:textAlignment w:val="auto"/>
        <w:rPr>
          <w:rFonts w:hint="eastAsia" w:ascii="仿宋_GB2312" w:eastAsia="仿宋_GB2312"/>
          <w:color w:val="auto"/>
          <w:sz w:val="24"/>
          <w:szCs w:val="32"/>
          <w:u w:val="single"/>
          <w:lang w:val="en-US" w:eastAsia="zh-CN"/>
        </w:rPr>
      </w:pPr>
      <w:r>
        <w:rPr>
          <w:rFonts w:hint="eastAsia" w:ascii="仿宋_GB2312" w:eastAsia="仿宋_GB2312"/>
          <w:color w:val="auto"/>
          <w:sz w:val="24"/>
          <w:szCs w:val="32"/>
          <w:u w:val="single"/>
          <w:lang w:val="en-US" w:eastAsia="zh-CN"/>
        </w:rPr>
        <w:t xml:space="preserve">1.现场检查（勘验）笔录1份，现场检查照片2张，证明执法人员在现场检查、取证情况。                                                                       </w:t>
      </w:r>
    </w:p>
    <w:p>
      <w:pPr>
        <w:keepNext w:val="0"/>
        <w:keepLines w:val="0"/>
        <w:pageBreakBefore w:val="0"/>
        <w:widowControl w:val="0"/>
        <w:kinsoku/>
        <w:wordWrap/>
        <w:overflowPunct/>
        <w:topLinePunct w:val="0"/>
        <w:autoSpaceDE/>
        <w:autoSpaceDN/>
        <w:bidi w:val="0"/>
        <w:adjustRightInd w:val="0"/>
        <w:snapToGrid w:val="0"/>
        <w:spacing w:line="520" w:lineRule="exact"/>
        <w:ind w:right="19" w:rightChars="9" w:firstLine="480" w:firstLineChars="200"/>
        <w:jc w:val="both"/>
        <w:textAlignment w:val="auto"/>
        <w:rPr>
          <w:rFonts w:hint="eastAsia" w:ascii="仿宋_GB2312" w:eastAsia="仿宋_GB2312"/>
          <w:color w:val="auto"/>
          <w:sz w:val="24"/>
          <w:szCs w:val="32"/>
          <w:u w:val="single"/>
          <w:lang w:val="en-US" w:eastAsia="zh-CN"/>
        </w:rPr>
      </w:pPr>
      <w:r>
        <w:rPr>
          <w:rFonts w:hint="eastAsia" w:ascii="仿宋_GB2312" w:eastAsia="仿宋_GB2312"/>
          <w:color w:val="auto"/>
          <w:sz w:val="24"/>
          <w:szCs w:val="32"/>
          <w:u w:val="single"/>
          <w:lang w:val="en-US" w:eastAsia="zh-CN"/>
        </w:rPr>
        <w:t xml:space="preserve">2.《营业执照》复印件1份、当事人吐尔洪江·**吐松身份证复印件1份。                                                                  </w:t>
      </w:r>
    </w:p>
    <w:p>
      <w:pPr>
        <w:keepNext w:val="0"/>
        <w:keepLines w:val="0"/>
        <w:pageBreakBefore w:val="0"/>
        <w:widowControl w:val="0"/>
        <w:kinsoku/>
        <w:wordWrap/>
        <w:overflowPunct/>
        <w:topLinePunct w:val="0"/>
        <w:autoSpaceDE/>
        <w:autoSpaceDN/>
        <w:bidi w:val="0"/>
        <w:adjustRightInd w:val="0"/>
        <w:snapToGrid w:val="0"/>
        <w:spacing w:line="520" w:lineRule="exact"/>
        <w:ind w:right="19" w:rightChars="9" w:firstLine="480" w:firstLineChars="200"/>
        <w:jc w:val="both"/>
        <w:textAlignment w:val="auto"/>
        <w:rPr>
          <w:rFonts w:hint="eastAsia" w:ascii="仿宋_GB2312" w:eastAsia="仿宋_GB2312"/>
          <w:color w:val="auto"/>
          <w:sz w:val="24"/>
          <w:szCs w:val="32"/>
          <w:u w:val="single"/>
          <w:lang w:val="en-US" w:eastAsia="zh-CN"/>
        </w:rPr>
      </w:pPr>
      <w:r>
        <w:rPr>
          <w:rFonts w:hint="eastAsia" w:ascii="仿宋_GB2312" w:eastAsia="仿宋_GB2312"/>
          <w:color w:val="auto"/>
          <w:sz w:val="24"/>
          <w:szCs w:val="32"/>
          <w:u w:val="single"/>
          <w:lang w:val="en-US" w:eastAsia="zh-CN"/>
        </w:rPr>
        <w:t xml:space="preserve">3.责令改正通知书1份、调查询问通知书1份。                                  </w:t>
      </w:r>
    </w:p>
    <w:p>
      <w:pPr>
        <w:keepNext w:val="0"/>
        <w:keepLines w:val="0"/>
        <w:pageBreakBefore w:val="0"/>
        <w:widowControl w:val="0"/>
        <w:kinsoku/>
        <w:wordWrap/>
        <w:overflowPunct/>
        <w:topLinePunct w:val="0"/>
        <w:autoSpaceDE/>
        <w:autoSpaceDN/>
        <w:bidi w:val="0"/>
        <w:adjustRightInd w:val="0"/>
        <w:snapToGrid w:val="0"/>
        <w:spacing w:line="520" w:lineRule="exact"/>
        <w:ind w:right="19" w:rightChars="9" w:firstLine="480" w:firstLineChars="200"/>
        <w:jc w:val="both"/>
        <w:textAlignment w:val="auto"/>
        <w:rPr>
          <w:rFonts w:hint="eastAsia" w:ascii="仿宋_GB2312" w:eastAsia="仿宋_GB2312"/>
          <w:color w:val="auto"/>
          <w:sz w:val="24"/>
          <w:szCs w:val="32"/>
          <w:u w:val="single"/>
          <w:lang w:val="en-US" w:eastAsia="zh-CN"/>
        </w:rPr>
      </w:pPr>
      <w:r>
        <w:rPr>
          <w:rFonts w:hint="eastAsia" w:ascii="仿宋_GB2312" w:eastAsia="仿宋_GB2312"/>
          <w:color w:val="auto"/>
          <w:sz w:val="24"/>
          <w:szCs w:val="32"/>
          <w:u w:val="single"/>
          <w:lang w:val="en-US" w:eastAsia="zh-CN"/>
        </w:rPr>
        <w:t xml:space="preserve">4.调查询问笔录1份。                                                                                        </w:t>
      </w:r>
    </w:p>
    <w:p>
      <w:pPr>
        <w:keepNext w:val="0"/>
        <w:keepLines w:val="0"/>
        <w:pageBreakBefore w:val="0"/>
        <w:widowControl w:val="0"/>
        <w:kinsoku/>
        <w:wordWrap/>
        <w:overflowPunct/>
        <w:topLinePunct w:val="0"/>
        <w:autoSpaceDE/>
        <w:autoSpaceDN/>
        <w:bidi w:val="0"/>
        <w:adjustRightInd w:val="0"/>
        <w:snapToGrid w:val="0"/>
        <w:spacing w:line="520" w:lineRule="exact"/>
        <w:ind w:right="19" w:rightChars="9" w:firstLine="480" w:firstLineChars="200"/>
        <w:jc w:val="both"/>
        <w:textAlignment w:val="auto"/>
        <w:rPr>
          <w:rFonts w:hint="default" w:ascii="仿宋_GB2312" w:eastAsia="仿宋_GB2312"/>
          <w:color w:val="auto"/>
          <w:sz w:val="24"/>
          <w:szCs w:val="32"/>
          <w:u w:val="single"/>
          <w:lang w:val="en-US" w:eastAsia="zh-CN"/>
        </w:rPr>
      </w:pPr>
      <w:r>
        <w:rPr>
          <w:rFonts w:hint="eastAsia" w:ascii="仿宋_GB2312" w:eastAsia="仿宋_GB2312"/>
          <w:color w:val="auto"/>
          <w:sz w:val="24"/>
          <w:szCs w:val="32"/>
          <w:u w:val="single"/>
          <w:lang w:val="en-US" w:eastAsia="zh-CN"/>
        </w:rPr>
        <w:t xml:space="preserve">乌苏市来喜三元商店未经批准擅自从事出版物发行业务的行为违反了《出版物市场管理规定》第三条“国家对出版物发行依法实行许可制度，未经许可，任何单位和个人不得从事出版物发行活动。”的规定和《中华人民共和国著作权法》第五十三条第一项的规定。参照《文化市场综合执法行政处罚裁量权适用办法》第十二条第三款规定，该经营场所属于初次违法，违法行为较轻并及时纠正，没有造成危害后果，建议从轻处罚。  </w:t>
      </w:r>
      <w:r>
        <w:rPr>
          <w:rFonts w:hint="eastAsia" w:ascii="仿宋_GB2312" w:eastAsia="仿宋_GB2312"/>
          <w:color w:val="auto"/>
          <w:sz w:val="24"/>
          <w:szCs w:val="32"/>
          <w:u w:val="single"/>
        </w:rPr>
        <w:t xml:space="preserve">                    </w:t>
      </w:r>
      <w:r>
        <w:rPr>
          <w:rFonts w:hint="eastAsia" w:ascii="仿宋_GB2312" w:eastAsia="仿宋_GB2312"/>
          <w:color w:val="auto"/>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right="19" w:rightChars="9" w:firstLine="480" w:firstLineChars="200"/>
        <w:jc w:val="both"/>
        <w:textAlignment w:val="auto"/>
        <w:rPr>
          <w:rFonts w:hint="default" w:ascii="仿宋_GB2312" w:eastAsia="仿宋_GB2312"/>
          <w:color w:val="auto"/>
          <w:sz w:val="24"/>
          <w:szCs w:val="32"/>
          <w:u w:val="single"/>
          <w:lang w:val="en-US" w:eastAsia="zh-CN"/>
        </w:rPr>
      </w:pPr>
      <w:r>
        <w:rPr>
          <w:rFonts w:hint="eastAsia" w:ascii="仿宋_GB2312" w:eastAsia="仿宋_GB2312"/>
          <w:color w:val="auto"/>
          <w:sz w:val="24"/>
          <w:szCs w:val="32"/>
        </w:rPr>
        <w:t>（处罚理由和依据）</w:t>
      </w:r>
      <w:r>
        <w:rPr>
          <w:rFonts w:hint="eastAsia" w:ascii="仿宋_GB2312" w:eastAsia="仿宋_GB2312"/>
          <w:color w:val="auto"/>
          <w:sz w:val="24"/>
          <w:szCs w:val="32"/>
          <w:u w:val="single"/>
          <w:lang w:val="en-US" w:eastAsia="zh-CN"/>
        </w:rPr>
        <w:t>乌苏市来喜三元商店未经批准擅自从事出版物发行业务的行为违反了</w:t>
      </w:r>
      <w:bookmarkStart w:id="0" w:name="_GoBack"/>
      <w:bookmarkEnd w:id="0"/>
      <w:r>
        <w:rPr>
          <w:rFonts w:hint="eastAsia" w:ascii="仿宋_GB2312" w:eastAsia="仿宋_GB2312"/>
          <w:color w:val="auto"/>
          <w:sz w:val="24"/>
          <w:szCs w:val="32"/>
          <w:u w:val="single"/>
          <w:lang w:val="en-US" w:eastAsia="zh-CN"/>
        </w:rPr>
        <w:t xml:space="preserve">《出版物市场管理规定》第三条及《中华人民共和国著作权法》第五十三条第一项的规定，依据《出版物市场管理规定》第三十一条、《出版管理条例》第六十一条及《中华人民共和国著作权法》第五十三条第一项之规定应当给予当事人行政处罚。                                                               </w:t>
      </w:r>
    </w:p>
    <w:p>
      <w:pPr>
        <w:keepNext w:val="0"/>
        <w:keepLines w:val="0"/>
        <w:pageBreakBefore w:val="0"/>
        <w:widowControl w:val="0"/>
        <w:kinsoku/>
        <w:wordWrap/>
        <w:overflowPunct/>
        <w:topLinePunct w:val="0"/>
        <w:autoSpaceDE/>
        <w:autoSpaceDN/>
        <w:bidi w:val="0"/>
        <w:adjustRightInd w:val="0"/>
        <w:snapToGrid w:val="0"/>
        <w:spacing w:line="520" w:lineRule="exact"/>
        <w:ind w:right="19" w:rightChars="9" w:firstLine="480" w:firstLineChars="200"/>
        <w:jc w:val="both"/>
        <w:textAlignment w:val="auto"/>
        <w:rPr>
          <w:rFonts w:hint="eastAsia" w:ascii="仿宋_GB2312" w:eastAsia="仿宋_GB2312"/>
          <w:color w:val="auto"/>
          <w:sz w:val="24"/>
          <w:szCs w:val="32"/>
          <w:u w:val="single"/>
        </w:rPr>
      </w:pPr>
      <w:r>
        <w:rPr>
          <w:rFonts w:hint="eastAsia" w:ascii="仿宋_GB2312" w:eastAsia="仿宋_GB2312"/>
          <w:color w:val="auto"/>
          <w:sz w:val="24"/>
          <w:szCs w:val="32"/>
          <w:u w:val="single"/>
          <w:lang w:val="en-US" w:eastAsia="zh-CN"/>
        </w:rPr>
        <w:t>2025</w:t>
      </w:r>
      <w:r>
        <w:rPr>
          <w:rFonts w:hint="eastAsia" w:ascii="仿宋_GB2312" w:eastAsia="仿宋_GB2312"/>
          <w:color w:val="auto"/>
          <w:sz w:val="24"/>
          <w:szCs w:val="32"/>
          <w:highlight w:val="none"/>
          <w:u w:val="single"/>
          <w:lang w:val="en-US" w:eastAsia="zh-CN"/>
        </w:rPr>
        <w:t>年9月24日，向</w:t>
      </w:r>
      <w:r>
        <w:rPr>
          <w:rFonts w:hint="eastAsia" w:ascii="仿宋_GB2312" w:eastAsia="仿宋_GB2312"/>
          <w:color w:val="auto"/>
          <w:sz w:val="24"/>
          <w:szCs w:val="32"/>
          <w:u w:val="single"/>
          <w:lang w:val="en-US" w:eastAsia="zh-CN"/>
        </w:rPr>
        <w:t>当事人送达了编号为</w:t>
      </w:r>
      <w:r>
        <w:rPr>
          <w:rFonts w:hint="eastAsia" w:ascii="仿宋_GB2312" w:hAnsi="仿宋_GB2312" w:eastAsia="仿宋_GB2312"/>
          <w:color w:val="auto"/>
          <w:sz w:val="24"/>
          <w:u w:val="single"/>
        </w:rPr>
        <w:t>（乌苏市）文综罚告字〔2025〕00000</w:t>
      </w:r>
      <w:r>
        <w:rPr>
          <w:rFonts w:hint="eastAsia" w:ascii="仿宋_GB2312" w:hAnsi="仿宋_GB2312" w:eastAsia="仿宋_GB2312"/>
          <w:color w:val="auto"/>
          <w:sz w:val="24"/>
          <w:u w:val="single"/>
          <w:lang w:val="en-US" w:eastAsia="zh-CN"/>
        </w:rPr>
        <w:t>8</w:t>
      </w:r>
      <w:r>
        <w:rPr>
          <w:rFonts w:hint="eastAsia" w:ascii="仿宋_GB2312" w:hAnsi="仿宋_GB2312" w:eastAsia="仿宋_GB2312"/>
          <w:color w:val="auto"/>
          <w:sz w:val="24"/>
          <w:u w:val="single"/>
        </w:rPr>
        <w:t>号</w:t>
      </w:r>
      <w:r>
        <w:rPr>
          <w:rFonts w:hint="eastAsia" w:ascii="仿宋_GB2312" w:hAnsi="仿宋_GB2312" w:eastAsia="仿宋_GB2312"/>
          <w:color w:val="auto"/>
          <w:sz w:val="24"/>
          <w:u w:val="single"/>
          <w:lang w:eastAsia="zh-CN"/>
        </w:rPr>
        <w:t>的《</w:t>
      </w:r>
      <w:r>
        <w:rPr>
          <w:rFonts w:hint="eastAsia" w:ascii="仿宋_GB2312" w:hAnsi="仿宋_GB2312" w:eastAsia="仿宋_GB2312"/>
          <w:color w:val="auto"/>
          <w:sz w:val="24"/>
          <w:u w:val="single"/>
          <w:lang w:val="en-US" w:eastAsia="zh-CN"/>
        </w:rPr>
        <w:t>行政处罚事先告知书</w:t>
      </w:r>
      <w:r>
        <w:rPr>
          <w:rFonts w:hint="eastAsia" w:ascii="仿宋_GB2312" w:hAnsi="仿宋_GB2312" w:eastAsia="仿宋_GB2312"/>
          <w:color w:val="auto"/>
          <w:sz w:val="24"/>
          <w:u w:val="single"/>
          <w:lang w:eastAsia="zh-CN"/>
        </w:rPr>
        <w:t>》</w:t>
      </w:r>
      <w:r>
        <w:rPr>
          <w:rFonts w:hint="eastAsia" w:ascii="仿宋_GB2312" w:hAnsi="仿宋_GB2312" w:eastAsia="仿宋_GB2312"/>
          <w:color w:val="auto"/>
          <w:sz w:val="24"/>
          <w:u w:val="single"/>
          <w:lang w:val="en-US" w:eastAsia="zh-CN"/>
        </w:rPr>
        <w:t xml:space="preserve">1份，告知其拟作出处罚决定的内容，事实、理由及依据，并告知当事人相关权利义务，拟给予当事人警告、没收出版物57本并处罚款贰佰元（200元）的行政处罚。                                          </w:t>
      </w:r>
      <w:r>
        <w:rPr>
          <w:rFonts w:hint="eastAsia" w:ascii="仿宋_GB2312" w:eastAsia="仿宋_GB2312"/>
          <w:color w:val="auto"/>
          <w:sz w:val="24"/>
          <w:szCs w:val="32"/>
          <w:u w:val="single"/>
        </w:rPr>
        <w:t xml:space="preserve"> </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eastAsia="仿宋_GB2312"/>
          <w:color w:val="auto"/>
          <w:sz w:val="24"/>
          <w:szCs w:val="32"/>
          <w:u w:val="single"/>
        </w:rPr>
      </w:pPr>
      <w:r>
        <w:rPr>
          <w:rFonts w:hint="eastAsia" w:ascii="仿宋_GB2312" w:eastAsia="仿宋_GB2312"/>
          <w:color w:val="auto"/>
          <w:sz w:val="24"/>
          <w:szCs w:val="32"/>
        </w:rPr>
        <w:t>（处罚内容）</w:t>
      </w:r>
      <w:r>
        <w:rPr>
          <w:rFonts w:hint="eastAsia" w:ascii="仿宋_GB2312" w:eastAsia="仿宋_GB2312"/>
          <w:color w:val="auto"/>
          <w:sz w:val="24"/>
          <w:szCs w:val="32"/>
          <w:u w:val="single"/>
          <w:lang w:eastAsia="zh-CN"/>
        </w:rPr>
        <w:t>综上，决定给予当事人</w:t>
      </w:r>
      <w:r>
        <w:rPr>
          <w:rFonts w:hint="eastAsia" w:ascii="仿宋_GB2312" w:eastAsia="仿宋_GB2312"/>
          <w:color w:val="auto"/>
          <w:sz w:val="24"/>
          <w:szCs w:val="32"/>
          <w:u w:val="single"/>
          <w:lang w:val="en-US" w:eastAsia="zh-CN"/>
        </w:rPr>
        <w:t>如下行政处罚：</w:t>
      </w:r>
      <w:r>
        <w:rPr>
          <w:rFonts w:hint="eastAsia" w:ascii="仿宋_GB2312" w:eastAsia="仿宋_GB2312"/>
          <w:color w:val="auto"/>
          <w:sz w:val="24"/>
          <w:szCs w:val="32"/>
          <w:u w:val="single"/>
          <w:lang w:eastAsia="zh-CN"/>
        </w:rPr>
        <w:t>1.警告；2.没收出版物</w:t>
      </w:r>
      <w:r>
        <w:rPr>
          <w:rFonts w:hint="eastAsia" w:ascii="仿宋_GB2312" w:eastAsia="仿宋_GB2312"/>
          <w:color w:val="auto"/>
          <w:sz w:val="24"/>
          <w:szCs w:val="32"/>
          <w:u w:val="single"/>
          <w:lang w:val="en-US" w:eastAsia="zh-CN"/>
        </w:rPr>
        <w:t>57</w:t>
      </w:r>
      <w:r>
        <w:rPr>
          <w:rFonts w:hint="eastAsia" w:ascii="仿宋_GB2312" w:eastAsia="仿宋_GB2312"/>
          <w:color w:val="auto"/>
          <w:sz w:val="24"/>
          <w:szCs w:val="32"/>
          <w:u w:val="single"/>
          <w:lang w:eastAsia="zh-CN"/>
        </w:rPr>
        <w:t>本；3.罚款</w:t>
      </w:r>
      <w:r>
        <w:rPr>
          <w:rFonts w:hint="eastAsia" w:ascii="仿宋_GB2312" w:eastAsia="仿宋_GB2312"/>
          <w:color w:val="auto"/>
          <w:sz w:val="24"/>
          <w:szCs w:val="32"/>
          <w:u w:val="single"/>
          <w:lang w:val="en-US" w:eastAsia="zh-CN"/>
        </w:rPr>
        <w:t>贰</w:t>
      </w:r>
      <w:r>
        <w:rPr>
          <w:rFonts w:hint="eastAsia" w:ascii="仿宋_GB2312" w:eastAsia="仿宋_GB2312"/>
          <w:color w:val="auto"/>
          <w:sz w:val="24"/>
          <w:szCs w:val="32"/>
          <w:u w:val="single"/>
          <w:lang w:eastAsia="zh-CN"/>
        </w:rPr>
        <w:t>佰元（</w:t>
      </w:r>
      <w:r>
        <w:rPr>
          <w:rFonts w:hint="eastAsia" w:ascii="仿宋_GB2312" w:eastAsia="仿宋_GB2312"/>
          <w:color w:val="auto"/>
          <w:sz w:val="24"/>
          <w:szCs w:val="32"/>
          <w:u w:val="single"/>
          <w:lang w:val="en-US" w:eastAsia="zh-CN"/>
        </w:rPr>
        <w:t>2</w:t>
      </w:r>
      <w:r>
        <w:rPr>
          <w:rFonts w:hint="eastAsia" w:ascii="仿宋_GB2312" w:eastAsia="仿宋_GB2312"/>
          <w:color w:val="auto"/>
          <w:sz w:val="24"/>
          <w:szCs w:val="32"/>
          <w:u w:val="single"/>
          <w:lang w:eastAsia="zh-CN"/>
        </w:rPr>
        <w:t>00元）。</w:t>
      </w:r>
      <w:r>
        <w:rPr>
          <w:rFonts w:hint="eastAsia" w:ascii="仿宋_GB2312" w:eastAsia="仿宋_GB2312"/>
          <w:color w:val="auto"/>
          <w:sz w:val="24"/>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right="-78" w:rightChars="-37" w:firstLine="480" w:firstLineChars="200"/>
        <w:textAlignment w:val="auto"/>
        <w:rPr>
          <w:rFonts w:hint="eastAsia" w:ascii="仿宋_GB2312" w:hAnsi="宋体" w:eastAsia="仿宋_GB2312"/>
          <w:bCs/>
          <w:color w:val="auto"/>
          <w:sz w:val="24"/>
          <w:u w:val="single"/>
        </w:rPr>
      </w:pPr>
      <w:r>
        <w:rPr>
          <w:rFonts w:hint="eastAsia" w:ascii="仿宋_GB2312" w:hAnsi="宋体" w:eastAsia="仿宋_GB2312"/>
          <w:bCs/>
          <w:color w:val="auto"/>
          <w:sz w:val="24"/>
        </w:rPr>
        <w:t>你（单位）</w:t>
      </w:r>
      <w:r>
        <w:rPr>
          <w:rFonts w:hint="eastAsia" w:ascii="仿宋_GB2312" w:hAnsi="宋体" w:eastAsia="仿宋_GB2312"/>
          <w:color w:val="auto"/>
          <w:sz w:val="24"/>
        </w:rPr>
        <w:t>应当自收到本决定书之日起十五日内，到</w:t>
      </w:r>
      <w:r>
        <w:rPr>
          <w:rFonts w:hint="eastAsia" w:ascii="仿宋_GB2312" w:hAnsi="宋体" w:eastAsia="仿宋_GB2312"/>
          <w:color w:val="auto"/>
          <w:sz w:val="24"/>
          <w:u w:val="single"/>
          <w:lang w:val="en-US" w:eastAsia="zh-CN"/>
        </w:rPr>
        <w:t xml:space="preserve"> 中国建设银行塔城地区分行乌苏新区分行</w:t>
      </w:r>
      <w:r>
        <w:rPr>
          <w:rFonts w:hint="eastAsia" w:ascii="仿宋_GB2312" w:hAnsi="宋体" w:eastAsia="仿宋_GB2312"/>
          <w:bCs/>
          <w:color w:val="auto"/>
          <w:sz w:val="24"/>
          <w:u w:val="single"/>
          <w:lang w:val="en-US" w:eastAsia="zh-CN"/>
        </w:rPr>
        <w:t xml:space="preserve">   </w:t>
      </w:r>
      <w:r>
        <w:rPr>
          <w:rFonts w:hint="eastAsia" w:ascii="仿宋_GB2312" w:hAnsi="宋体" w:eastAsia="仿宋_GB2312"/>
          <w:bCs/>
          <w:color w:val="auto"/>
          <w:sz w:val="24"/>
          <w:u w:val="single"/>
        </w:rPr>
        <w:t xml:space="preserve"> </w:t>
      </w:r>
      <w:r>
        <w:rPr>
          <w:rFonts w:hint="eastAsia" w:ascii="仿宋_GB2312" w:hAnsi="仿宋_GB2312" w:eastAsia="仿宋_GB2312" w:cs="仿宋_GB2312"/>
          <w:color w:val="auto"/>
          <w:sz w:val="24"/>
          <w:lang w:eastAsia="zh-CN"/>
        </w:rPr>
        <w:t>或者通过</w:t>
      </w:r>
      <w:r>
        <w:rPr>
          <w:rFonts w:hint="eastAsia" w:ascii="仿宋_GB2312" w:hAnsi="仿宋_GB2312" w:eastAsia="仿宋_GB2312" w:cs="仿宋_GB2312"/>
          <w:color w:val="auto"/>
          <w:sz w:val="24"/>
          <w:u w:val="single"/>
          <w:lang w:val="en-US" w:eastAsia="zh-CN"/>
        </w:rPr>
        <w:t xml:space="preserve">  /  </w:t>
      </w:r>
      <w:r>
        <w:rPr>
          <w:rFonts w:hint="eastAsia" w:ascii="仿宋_GB2312" w:hAnsi="仿宋_GB2312" w:eastAsia="仿宋_GB2312" w:cs="仿宋_GB2312"/>
          <w:color w:val="auto"/>
          <w:sz w:val="24"/>
          <w:lang w:eastAsia="zh-CN"/>
        </w:rPr>
        <w:t>电子支付系统缴纳</w:t>
      </w:r>
      <w:r>
        <w:rPr>
          <w:rFonts w:hint="eastAsia" w:ascii="仿宋_GB2312" w:hAnsi="仿宋_GB2312" w:eastAsia="仿宋_GB2312" w:cs="仿宋_GB2312"/>
          <w:color w:val="auto"/>
          <w:sz w:val="24"/>
        </w:rPr>
        <w:t>罚款</w:t>
      </w:r>
      <w:r>
        <w:rPr>
          <w:rFonts w:hint="eastAsia" w:ascii="仿宋_GB2312" w:hAnsi="宋体" w:eastAsia="仿宋_GB2312"/>
          <w:color w:val="auto"/>
          <w:sz w:val="24"/>
        </w:rPr>
        <w:t>。</w:t>
      </w:r>
      <w:r>
        <w:rPr>
          <w:rFonts w:hint="eastAsia" w:ascii="仿宋_GB2312" w:hAnsi="宋体" w:eastAsia="仿宋_GB2312"/>
          <w:color w:val="auto"/>
          <w:sz w:val="24"/>
          <w:lang w:val="zh-CN"/>
        </w:rPr>
        <w:t>逾期不缴纳罚款的，依据《中华人民共和国行政处罚法》第七十二条第一款第（一）项的规定，本机关可每日按罚款数额的百分之三加处罚款（加处罚款的数额不超出罚款的数额）</w:t>
      </w:r>
      <w:r>
        <w:rPr>
          <w:rFonts w:hint="eastAsia" w:ascii="仿宋_GB2312" w:hAnsi="仿宋_GB2312" w:eastAsia="仿宋_GB2312" w:cs="仿宋_GB2312"/>
          <w:color w:val="auto"/>
          <w:sz w:val="24"/>
          <w:lang w:val="zh-CN"/>
        </w:rPr>
        <w:t>，</w:t>
      </w:r>
      <w:r>
        <w:rPr>
          <w:rFonts w:hint="eastAsia" w:ascii="仿宋_GB2312" w:hAnsi="仿宋_GB2312" w:eastAsia="仿宋_GB2312" w:cs="仿宋_GB2312"/>
          <w:strike w:val="0"/>
          <w:dstrike w:val="0"/>
          <w:color w:val="auto"/>
          <w:kern w:val="0"/>
          <w:sz w:val="24"/>
          <w:lang w:val="zh-CN"/>
        </w:rPr>
        <w:t>并</w:t>
      </w:r>
      <w:r>
        <w:rPr>
          <w:rFonts w:hint="eastAsia" w:ascii="仿宋_GB2312" w:hAnsi="仿宋_GB2312" w:eastAsia="仿宋_GB2312" w:cs="仿宋_GB2312"/>
          <w:color w:val="auto"/>
          <w:sz w:val="24"/>
        </w:rPr>
        <w:t>依据《</w:t>
      </w:r>
      <w:r>
        <w:rPr>
          <w:rFonts w:hint="eastAsia" w:ascii="仿宋_GB2312" w:hAnsi="仿宋_GB2312" w:eastAsia="仿宋_GB2312" w:cs="仿宋_GB2312"/>
          <w:color w:val="auto"/>
          <w:sz w:val="24"/>
          <w:lang w:eastAsia="zh-CN"/>
        </w:rPr>
        <w:t>中华人民共和国行政强制法</w:t>
      </w:r>
      <w:r>
        <w:rPr>
          <w:rFonts w:hint="eastAsia" w:ascii="仿宋_GB2312" w:hAnsi="仿宋_GB2312" w:eastAsia="仿宋_GB2312" w:cs="仿宋_GB2312"/>
          <w:color w:val="auto"/>
          <w:sz w:val="24"/>
        </w:rPr>
        <w:t>》第</w:t>
      </w:r>
      <w:r>
        <w:rPr>
          <w:rFonts w:hint="eastAsia" w:ascii="仿宋_GB2312" w:hAnsi="仿宋_GB2312" w:eastAsia="仿宋_GB2312" w:cs="仿宋_GB2312"/>
          <w:color w:val="auto"/>
          <w:sz w:val="24"/>
          <w:lang w:eastAsia="zh-CN"/>
        </w:rPr>
        <w:t>四</w:t>
      </w:r>
      <w:r>
        <w:rPr>
          <w:rFonts w:hint="eastAsia" w:ascii="仿宋_GB2312" w:hAnsi="仿宋_GB2312" w:eastAsia="仿宋_GB2312" w:cs="仿宋_GB2312"/>
          <w:color w:val="auto"/>
          <w:sz w:val="24"/>
        </w:rPr>
        <w:t>十</w:t>
      </w:r>
      <w:r>
        <w:rPr>
          <w:rFonts w:hint="eastAsia" w:ascii="仿宋_GB2312" w:hAnsi="仿宋_GB2312" w:eastAsia="仿宋_GB2312" w:cs="仿宋_GB2312"/>
          <w:color w:val="auto"/>
          <w:sz w:val="24"/>
          <w:lang w:eastAsia="zh-CN"/>
        </w:rPr>
        <w:t>六</w:t>
      </w:r>
      <w:r>
        <w:rPr>
          <w:rFonts w:hint="eastAsia" w:ascii="仿宋_GB2312" w:hAnsi="仿宋_GB2312" w:eastAsia="仿宋_GB2312" w:cs="仿宋_GB2312"/>
          <w:color w:val="auto"/>
          <w:sz w:val="24"/>
        </w:rPr>
        <w:t>条的规定</w:t>
      </w:r>
      <w:r>
        <w:rPr>
          <w:rFonts w:hint="eastAsia" w:ascii="仿宋_GB2312" w:hAnsi="仿宋_GB2312" w:eastAsia="仿宋_GB2312" w:cs="仿宋_GB2312"/>
          <w:strike w:val="0"/>
          <w:dstrike w:val="0"/>
          <w:color w:val="auto"/>
          <w:kern w:val="0"/>
          <w:sz w:val="24"/>
          <w:lang w:val="zh-CN"/>
        </w:rPr>
        <w:t>申请人民法院强制执行。</w:t>
      </w:r>
    </w:p>
    <w:p>
      <w:pPr>
        <w:keepNext w:val="0"/>
        <w:keepLines w:val="0"/>
        <w:pageBreakBefore w:val="0"/>
        <w:widowControl w:val="0"/>
        <w:kinsoku/>
        <w:wordWrap/>
        <w:overflowPunct/>
        <w:topLinePunct w:val="0"/>
        <w:autoSpaceDE/>
        <w:autoSpaceDN/>
        <w:bidi w:val="0"/>
        <w:adjustRightInd w:val="0"/>
        <w:snapToGrid w:val="0"/>
        <w:spacing w:line="520" w:lineRule="exact"/>
        <w:ind w:right="-78" w:rightChars="-37" w:firstLine="480" w:firstLineChars="200"/>
        <w:textAlignment w:val="auto"/>
        <w:rPr>
          <w:rFonts w:hint="eastAsia" w:ascii="仿宋_GB2312" w:hAnsi="宋体" w:eastAsia="仿宋_GB2312"/>
          <w:bCs/>
          <w:color w:val="auto"/>
          <w:sz w:val="24"/>
          <w:u w:val="single"/>
        </w:rPr>
      </w:pPr>
      <w:r>
        <w:rPr>
          <w:rFonts w:hint="eastAsia" w:ascii="仿宋_GB2312" w:hAnsi="宋体" w:eastAsia="仿宋_GB2312"/>
          <w:bCs/>
          <w:color w:val="auto"/>
          <w:sz w:val="24"/>
        </w:rPr>
        <w:t>你（单位）</w:t>
      </w:r>
      <w:r>
        <w:rPr>
          <w:rFonts w:hint="eastAsia" w:ascii="仿宋_GB2312" w:hAnsi="宋体" w:eastAsia="仿宋_GB2312"/>
          <w:color w:val="auto"/>
          <w:sz w:val="24"/>
        </w:rPr>
        <w:t>如对本处罚决定不服，可在收到本决定书之日起六十日内向</w:t>
      </w:r>
      <w:r>
        <w:rPr>
          <w:rFonts w:hint="eastAsia" w:ascii="仿宋_GB2312" w:hAnsi="宋体" w:eastAsia="仿宋_GB2312"/>
          <w:bCs/>
          <w:color w:val="auto"/>
          <w:sz w:val="24"/>
          <w:u w:val="single"/>
        </w:rPr>
        <w:t xml:space="preserve"> </w:t>
      </w:r>
      <w:r>
        <w:rPr>
          <w:rFonts w:hint="eastAsia" w:ascii="仿宋_GB2312" w:hAnsi="宋体" w:eastAsia="仿宋_GB2312"/>
          <w:color w:val="auto"/>
          <w:sz w:val="24"/>
          <w:u w:val="single"/>
          <w:lang w:eastAsia="zh-CN"/>
        </w:rPr>
        <w:t>乌苏市人民政府</w:t>
      </w:r>
      <w:r>
        <w:rPr>
          <w:rFonts w:hint="eastAsia" w:ascii="仿宋_GB2312" w:hAnsi="宋体" w:eastAsia="仿宋_GB2312"/>
          <w:color w:val="auto"/>
          <w:sz w:val="24"/>
          <w:u w:val="single"/>
          <w:lang w:val="en-US" w:eastAsia="zh-CN"/>
        </w:rPr>
        <w:t xml:space="preserve"> </w:t>
      </w:r>
      <w:r>
        <w:rPr>
          <w:rFonts w:hint="eastAsia" w:ascii="仿宋_GB2312" w:hAnsi="宋体" w:eastAsia="仿宋_GB2312"/>
          <w:color w:val="auto"/>
          <w:sz w:val="24"/>
        </w:rPr>
        <w:t>申请行政复议，也可在收到本决定书之日起六个月内直接向</w:t>
      </w:r>
      <w:r>
        <w:rPr>
          <w:rFonts w:hint="eastAsia" w:ascii="仿宋_GB2312" w:hAnsi="宋体" w:eastAsia="仿宋_GB2312"/>
          <w:color w:val="auto"/>
          <w:sz w:val="24"/>
          <w:u w:val="single"/>
          <w:lang w:val="en-US" w:eastAsia="zh-CN"/>
        </w:rPr>
        <w:t xml:space="preserve"> </w:t>
      </w:r>
      <w:r>
        <w:rPr>
          <w:rFonts w:hint="eastAsia" w:ascii="仿宋_GB2312" w:hAnsi="宋体" w:eastAsia="仿宋_GB2312"/>
          <w:bCs/>
          <w:color w:val="auto"/>
          <w:sz w:val="24"/>
          <w:u w:val="single"/>
          <w:lang w:eastAsia="zh-CN"/>
        </w:rPr>
        <w:t>乌苏市</w:t>
      </w:r>
      <w:r>
        <w:rPr>
          <w:rFonts w:hint="eastAsia" w:ascii="仿宋_GB2312" w:hAnsi="宋体" w:eastAsia="仿宋_GB2312"/>
          <w:color w:val="auto"/>
          <w:sz w:val="24"/>
          <w:u w:val="single"/>
        </w:rPr>
        <w:t>人民法院</w:t>
      </w:r>
      <w:r>
        <w:rPr>
          <w:rFonts w:hint="eastAsia" w:ascii="仿宋_GB2312" w:hAnsi="宋体" w:eastAsia="仿宋_GB2312"/>
          <w:color w:val="auto"/>
          <w:sz w:val="24"/>
          <w:u w:val="single"/>
          <w:lang w:val="en-US" w:eastAsia="zh-CN"/>
        </w:rPr>
        <w:t xml:space="preserve">  </w:t>
      </w:r>
      <w:r>
        <w:rPr>
          <w:rFonts w:hint="eastAsia" w:ascii="仿宋_GB2312" w:hAnsi="宋体" w:eastAsia="仿宋_GB2312"/>
          <w:color w:val="auto"/>
          <w:sz w:val="24"/>
        </w:rPr>
        <w:t>提起行政诉讼。行政复议或者行政诉讼期间，本处罚决定不停止执行。</w:t>
      </w:r>
    </w:p>
    <w:p>
      <w:pPr>
        <w:keepNext w:val="0"/>
        <w:keepLines w:val="0"/>
        <w:pageBreakBefore w:val="0"/>
        <w:widowControl w:val="0"/>
        <w:kinsoku/>
        <w:wordWrap/>
        <w:overflowPunct/>
        <w:topLinePunct w:val="0"/>
        <w:autoSpaceDE/>
        <w:autoSpaceDN/>
        <w:bidi w:val="0"/>
        <w:spacing w:line="520" w:lineRule="exact"/>
        <w:ind w:left="-80" w:leftChars="-38" w:right="-78" w:rightChars="-37" w:firstLine="480" w:firstLineChars="200"/>
        <w:textAlignment w:val="auto"/>
        <w:rPr>
          <w:rFonts w:hint="eastAsia" w:ascii="仿宋_GB2312" w:hAnsi="宋体" w:eastAsia="仿宋_GB2312"/>
          <w:color w:val="auto"/>
          <w:sz w:val="24"/>
          <w:lang w:eastAsia="zh-CN"/>
        </w:rPr>
      </w:pPr>
      <w:r>
        <w:rPr>
          <w:rFonts w:hint="eastAsia" w:ascii="仿宋_GB2312" w:hAnsi="宋体" w:eastAsia="仿宋_GB2312"/>
          <w:color w:val="auto"/>
          <w:sz w:val="24"/>
        </w:rPr>
        <w:t>逾期不申请行政复议或者提起行政诉讼，又不履行本处罚决定，经催告后仍未履行义务的，依据《</w:t>
      </w:r>
      <w:r>
        <w:rPr>
          <w:rFonts w:hint="eastAsia" w:ascii="仿宋_GB2312" w:hAnsi="宋体" w:eastAsia="仿宋_GB2312"/>
          <w:color w:val="auto"/>
          <w:sz w:val="24"/>
          <w:lang w:eastAsia="zh-CN"/>
        </w:rPr>
        <w:t>中华人民共和国行政强制法</w:t>
      </w:r>
      <w:r>
        <w:rPr>
          <w:rFonts w:hint="eastAsia" w:ascii="仿宋_GB2312" w:hAnsi="宋体" w:eastAsia="仿宋_GB2312"/>
          <w:color w:val="auto"/>
          <w:sz w:val="24"/>
        </w:rPr>
        <w:t>》第五十四条的规定，本机关可申请人民法院强制执行。</w:t>
      </w:r>
    </w:p>
    <w:p>
      <w:pPr>
        <w:keepNext w:val="0"/>
        <w:keepLines w:val="0"/>
        <w:pageBreakBefore w:val="0"/>
        <w:widowControl w:val="0"/>
        <w:kinsoku/>
        <w:wordWrap/>
        <w:overflowPunct/>
        <w:topLinePunct w:val="0"/>
        <w:autoSpaceDE/>
        <w:autoSpaceDN/>
        <w:bidi w:val="0"/>
        <w:adjustRightInd/>
        <w:snapToGrid/>
        <w:spacing w:line="520" w:lineRule="exact"/>
        <w:ind w:left="-80" w:leftChars="-38" w:right="-78" w:rightChars="-37" w:firstLine="480" w:firstLineChars="200"/>
        <w:textAlignment w:val="auto"/>
        <w:rPr>
          <w:rFonts w:hint="eastAsia" w:ascii="仿宋_GB2312" w:hAnsi="宋体" w:eastAsia="仿宋_GB2312"/>
          <w:color w:val="auto"/>
          <w:sz w:val="24"/>
        </w:rPr>
      </w:pPr>
      <w:r>
        <w:rPr>
          <w:rFonts w:hint="eastAsia" w:ascii="仿宋_GB2312" w:hAnsi="宋体" w:eastAsia="仿宋_GB2312"/>
          <w:color w:val="auto"/>
          <w:sz w:val="24"/>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80" w:leftChars="-38" w:right="-78" w:rightChars="-37" w:firstLine="480" w:firstLineChars="200"/>
        <w:jc w:val="right"/>
        <w:textAlignment w:val="auto"/>
        <w:rPr>
          <w:rFonts w:hint="eastAsia" w:ascii="仿宋_GB2312" w:hAnsi="宋体" w:eastAsia="仿宋_GB2312"/>
          <w:color w:val="auto"/>
          <w:sz w:val="24"/>
          <w:lang w:eastAsia="zh-CN"/>
        </w:rPr>
      </w:pPr>
      <w:r>
        <w:rPr>
          <w:rFonts w:hint="eastAsia" w:ascii="仿宋_GB2312" w:hAnsi="宋体" w:eastAsia="仿宋_GB2312"/>
          <w:color w:val="auto"/>
          <w:sz w:val="24"/>
          <w:lang w:eastAsia="zh-CN"/>
        </w:rPr>
        <w:t>乌苏市文化体育广播电视和旅游局</w:t>
      </w:r>
    </w:p>
    <w:p>
      <w:pPr>
        <w:keepNext w:val="0"/>
        <w:keepLines w:val="0"/>
        <w:pageBreakBefore w:val="0"/>
        <w:widowControl w:val="0"/>
        <w:kinsoku/>
        <w:wordWrap/>
        <w:overflowPunct/>
        <w:topLinePunct w:val="0"/>
        <w:autoSpaceDE/>
        <w:autoSpaceDN/>
        <w:bidi w:val="0"/>
        <w:adjustRightInd/>
        <w:snapToGrid/>
        <w:spacing w:line="520" w:lineRule="exact"/>
        <w:ind w:left="-80" w:leftChars="-38" w:right="-78" w:rightChars="-37" w:firstLine="480" w:firstLineChars="200"/>
        <w:textAlignment w:val="auto"/>
        <w:rPr>
          <w:rFonts w:hint="eastAsia" w:ascii="仿宋_GB2312" w:hAnsi="宋体" w:eastAsia="仿宋_GB2312"/>
          <w:color w:val="auto"/>
          <w:sz w:val="24"/>
        </w:rPr>
      </w:pPr>
      <w:r>
        <w:rPr>
          <w:rFonts w:hint="eastAsia" w:ascii="仿宋_GB2312" w:hAnsi="宋体" w:eastAsia="仿宋_GB2312"/>
          <w:color w:val="auto"/>
          <w:sz w:val="24"/>
        </w:rPr>
        <w:t xml:space="preserve">                                     </w:t>
      </w:r>
      <w:r>
        <w:rPr>
          <w:rFonts w:hint="eastAsia" w:ascii="仿宋_GB2312" w:hAnsi="宋体" w:eastAsia="仿宋_GB2312"/>
          <w:color w:val="auto"/>
          <w:sz w:val="24"/>
          <w:highlight w:val="none"/>
        </w:rPr>
        <w:t xml:space="preserve">       </w:t>
      </w:r>
      <w:r>
        <w:rPr>
          <w:rFonts w:hint="eastAsia" w:ascii="仿宋_GB2312" w:hAnsi="宋体" w:eastAsia="仿宋_GB2312"/>
          <w:color w:val="auto"/>
          <w:sz w:val="24"/>
          <w:highlight w:val="none"/>
          <w:lang w:val="en-US" w:eastAsia="zh-CN"/>
        </w:rPr>
        <w:t>2025</w:t>
      </w:r>
      <w:r>
        <w:rPr>
          <w:rFonts w:hint="eastAsia" w:ascii="仿宋_GB2312" w:hAnsi="宋体" w:eastAsia="仿宋_GB2312"/>
          <w:color w:val="auto"/>
          <w:sz w:val="24"/>
          <w:highlight w:val="none"/>
        </w:rPr>
        <w:t>年</w:t>
      </w:r>
      <w:r>
        <w:rPr>
          <w:rFonts w:hint="eastAsia" w:ascii="仿宋_GB2312" w:hAnsi="宋体" w:eastAsia="仿宋_GB2312"/>
          <w:color w:val="auto"/>
          <w:sz w:val="24"/>
          <w:highlight w:val="none"/>
          <w:lang w:val="en-US" w:eastAsia="zh-CN"/>
        </w:rPr>
        <w:t>9</w:t>
      </w:r>
      <w:r>
        <w:rPr>
          <w:rFonts w:hint="eastAsia" w:ascii="仿宋_GB2312" w:hAnsi="宋体" w:eastAsia="仿宋_GB2312"/>
          <w:color w:val="auto"/>
          <w:sz w:val="24"/>
          <w:highlight w:val="none"/>
        </w:rPr>
        <w:t>月</w:t>
      </w:r>
      <w:r>
        <w:rPr>
          <w:rFonts w:hint="eastAsia" w:ascii="仿宋_GB2312" w:hAnsi="宋体" w:eastAsia="仿宋_GB2312"/>
          <w:color w:val="auto"/>
          <w:sz w:val="24"/>
          <w:highlight w:val="none"/>
          <w:lang w:val="en-US" w:eastAsia="zh-CN"/>
        </w:rPr>
        <w:t>30</w:t>
      </w:r>
      <w:r>
        <w:rPr>
          <w:rFonts w:hint="eastAsia" w:ascii="仿宋_GB2312" w:hAnsi="宋体" w:eastAsia="仿宋_GB2312"/>
          <w:color w:val="auto"/>
          <w:sz w:val="24"/>
          <w:highlight w:val="none"/>
        </w:rPr>
        <w:t>日</w:t>
      </w:r>
    </w:p>
    <w:p>
      <w:pPr>
        <w:keepNext w:val="0"/>
        <w:keepLines w:val="0"/>
        <w:pageBreakBefore w:val="0"/>
        <w:widowControl w:val="0"/>
        <w:kinsoku/>
        <w:wordWrap/>
        <w:overflowPunct/>
        <w:topLinePunct w:val="0"/>
        <w:autoSpaceDE/>
        <w:autoSpaceDN/>
        <w:bidi w:val="0"/>
        <w:adjustRightInd/>
        <w:snapToGrid/>
        <w:spacing w:line="520" w:lineRule="exact"/>
        <w:ind w:left="-80" w:leftChars="-38" w:right="-78" w:rightChars="-37" w:firstLine="480" w:firstLineChars="200"/>
        <w:jc w:val="both"/>
        <w:textAlignment w:val="auto"/>
        <w:rPr>
          <w:rFonts w:hint="eastAsia" w:ascii="仿宋_GB2312" w:hAnsi="宋体" w:eastAsia="仿宋_GB2312"/>
          <w:color w:val="auto"/>
          <w:sz w:val="24"/>
          <w:lang w:eastAsia="zh-CN"/>
        </w:rPr>
      </w:pPr>
    </w:p>
    <w:p>
      <w:pPr>
        <w:keepNext w:val="0"/>
        <w:keepLines w:val="0"/>
        <w:pageBreakBefore w:val="0"/>
        <w:widowControl w:val="0"/>
        <w:kinsoku/>
        <w:wordWrap/>
        <w:overflowPunct/>
        <w:topLinePunct w:val="0"/>
        <w:autoSpaceDE/>
        <w:autoSpaceDN/>
        <w:bidi w:val="0"/>
        <w:adjustRightInd/>
        <w:snapToGrid/>
        <w:spacing w:line="520" w:lineRule="exact"/>
        <w:ind w:right="-78" w:rightChars="-37"/>
        <w:jc w:val="both"/>
        <w:textAlignment w:val="auto"/>
        <w:rPr>
          <w:rFonts w:hint="eastAsia" w:ascii="仿宋_GB2312" w:hAnsi="宋体" w:eastAsia="仿宋_GB2312"/>
          <w:color w:val="auto"/>
          <w:sz w:val="24"/>
          <w:lang w:eastAsia="zh-CN"/>
        </w:rPr>
      </w:pPr>
    </w:p>
    <w:p>
      <w:pPr>
        <w:keepNext w:val="0"/>
        <w:keepLines w:val="0"/>
        <w:pageBreakBefore w:val="0"/>
        <w:widowControl w:val="0"/>
        <w:kinsoku/>
        <w:wordWrap/>
        <w:overflowPunct/>
        <w:topLinePunct w:val="0"/>
        <w:autoSpaceDE/>
        <w:autoSpaceDN/>
        <w:bidi w:val="0"/>
        <w:adjustRightInd/>
        <w:snapToGrid/>
        <w:spacing w:line="520" w:lineRule="exact"/>
        <w:ind w:right="-78" w:rightChars="-37"/>
        <w:jc w:val="both"/>
        <w:textAlignment w:val="auto"/>
        <w:rPr>
          <w:rFonts w:hint="eastAsia" w:ascii="方正小标宋简体" w:hAnsi="方正小标宋简体" w:eastAsia="方正小标宋简体" w:cs="方正小标宋简体"/>
          <w:b w:val="0"/>
          <w:bCs/>
          <w:color w:val="auto"/>
          <w:spacing w:val="20"/>
          <w:sz w:val="36"/>
          <w:szCs w:val="36"/>
        </w:rPr>
      </w:pPr>
      <w:r>
        <w:rPr>
          <w:rFonts w:hint="eastAsia" w:ascii="仿宋_GB2312" w:hAnsi="宋体" w:eastAsia="仿宋_GB2312"/>
          <w:color w:val="auto"/>
          <w:sz w:val="24"/>
          <w:lang w:eastAsia="zh-CN"/>
        </w:rPr>
        <w:t>（本机关</w:t>
      </w:r>
      <w:r>
        <w:rPr>
          <w:rFonts w:hint="eastAsia" w:ascii="仿宋_GB2312" w:hAnsi="宋体" w:eastAsia="仿宋_GB2312"/>
          <w:color w:val="auto"/>
          <w:sz w:val="24"/>
        </w:rPr>
        <w:t>将依法向社会公</w:t>
      </w:r>
      <w:r>
        <w:rPr>
          <w:rFonts w:hint="eastAsia" w:ascii="仿宋_GB2312" w:hAnsi="宋体" w:eastAsia="仿宋_GB2312"/>
          <w:color w:val="auto"/>
          <w:sz w:val="24"/>
          <w:lang w:eastAsia="zh-CN"/>
        </w:rPr>
        <w:t>开</w:t>
      </w:r>
      <w:r>
        <w:rPr>
          <w:rFonts w:hint="eastAsia" w:ascii="仿宋_GB2312" w:hAnsi="宋体" w:eastAsia="仿宋_GB2312"/>
          <w:color w:val="auto"/>
          <w:sz w:val="24"/>
        </w:rPr>
        <w:t>行政处罚决定信息</w:t>
      </w:r>
      <w:r>
        <w:rPr>
          <w:rFonts w:hint="eastAsia" w:ascii="仿宋_GB2312" w:hAnsi="宋体" w:eastAsia="仿宋_GB2312"/>
          <w:color w:val="auto"/>
          <w:sz w:val="24"/>
          <w:lang w:eastAsia="zh-CN"/>
        </w:rPr>
        <w:t>）</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25F0060E"/>
    <w:rsid w:val="240B6666"/>
    <w:rsid w:val="25F0060E"/>
    <w:rsid w:val="27C26A42"/>
    <w:rsid w:val="29626D8F"/>
    <w:rsid w:val="2BBD65BA"/>
    <w:rsid w:val="2DD72121"/>
    <w:rsid w:val="35173278"/>
    <w:rsid w:val="3809687E"/>
    <w:rsid w:val="399F2838"/>
    <w:rsid w:val="3D8B3D2C"/>
    <w:rsid w:val="3E85284D"/>
    <w:rsid w:val="457F7F5A"/>
    <w:rsid w:val="46F64E0F"/>
    <w:rsid w:val="499E7FA5"/>
    <w:rsid w:val="54F760BD"/>
    <w:rsid w:val="6A6A2E82"/>
    <w:rsid w:val="709348B3"/>
    <w:rsid w:val="73821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spacing w:before="340" w:beforeLines="0" w:beforeAutospacing="0" w:after="330" w:afterLines="0" w:afterAutospacing="0" w:line="560" w:lineRule="exact"/>
      <w:jc w:val="both"/>
      <w:outlineLvl w:val="0"/>
    </w:pPr>
    <w:rPr>
      <w:rFonts w:eastAsia="黑体"/>
      <w:kern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560" w:lineRule="exact"/>
      <w:outlineLvl w:val="1"/>
    </w:pPr>
    <w:rPr>
      <w:rFonts w:eastAsia="楷体_GB2312"/>
      <w:b/>
    </w:rPr>
  </w:style>
  <w:style w:type="paragraph" w:styleId="5">
    <w:name w:val="heading 3"/>
    <w:basedOn w:val="1"/>
    <w:next w:val="1"/>
    <w:semiHidden/>
    <w:unhideWhenUsed/>
    <w:qFormat/>
    <w:uiPriority w:val="0"/>
    <w:pPr>
      <w:keepNext/>
      <w:keepLines/>
      <w:spacing w:before="260" w:beforeLines="0" w:beforeAutospacing="0" w:after="260" w:afterLines="0" w:afterAutospacing="0" w:line="560" w:lineRule="exact"/>
      <w:outlineLvl w:val="2"/>
    </w:pPr>
    <w:rPr>
      <w:b/>
    </w:rPr>
  </w:style>
  <w:style w:type="paragraph" w:styleId="6">
    <w:name w:val="heading 4"/>
    <w:basedOn w:val="1"/>
    <w:next w:val="1"/>
    <w:semiHidden/>
    <w:unhideWhenUsed/>
    <w:qFormat/>
    <w:uiPriority w:val="0"/>
    <w:pPr>
      <w:keepNext/>
      <w:keepLines/>
      <w:spacing w:before="280" w:beforeLines="0" w:beforeAutospacing="0" w:after="290" w:afterLines="0" w:afterAutospacing="0" w:line="560" w:lineRule="exact"/>
      <w:outlineLvl w:val="3"/>
    </w:p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line="560" w:lineRule="exact"/>
      <w:jc w:val="center"/>
      <w:outlineLvl w:val="0"/>
    </w:pPr>
    <w:rPr>
      <w:rFonts w:eastAsia="方正小标宋简体"/>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1707</Words>
  <Characters>1831</Characters>
  <Lines>0</Lines>
  <Paragraphs>0</Paragraphs>
  <TotalTime>4</TotalTime>
  <ScaleCrop>false</ScaleCrop>
  <LinksUpToDate>false</LinksUpToDate>
  <CharactersWithSpaces>2711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2025-09-26T05:24:00Z</dcterms:created>
  <dc:creator>MBer</dc:creator>
  <cp:lastModifiedBy>喜文</cp:lastModifiedBy>
  <dcterms:modified xsi:type="dcterms:W3CDTF">2026-01-07T10:57:12Z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DA5B0F3AAC854D269A5BE338F93897F5_12</vt:lpwstr>
  </property>
</Properties>
</file>