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2025年度述法工作报告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交通运输局党组书记、副局长  边建峰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根据工作要求，现</w:t>
      </w:r>
      <w:r>
        <w:rPr>
          <w:rFonts w:hint="default" w:ascii="Times New Roman" w:hAnsi="Times New Roman" w:eastAsia="仿宋_GB2312" w:cs="Times New Roman"/>
          <w:color w:val="auto"/>
          <w:sz w:val="32"/>
          <w:szCs w:val="32"/>
          <w:highlight w:val="none"/>
          <w:lang w:val="en-US" w:eastAsia="zh-CN"/>
        </w:rPr>
        <w:t>述法</w:t>
      </w:r>
      <w:r>
        <w:rPr>
          <w:rFonts w:hint="default" w:ascii="Times New Roman" w:hAnsi="Times New Roman" w:eastAsia="仿宋_GB2312" w:cs="Times New Roman"/>
          <w:color w:val="auto"/>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一</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坚持政治引领，深学笃行习近平法治思想</w:t>
      </w:r>
      <w:r>
        <w:rPr>
          <w:rFonts w:hint="eastAsia" w:ascii="楷体_GB2312" w:hAnsi="楷体_GB2312" w:eastAsia="楷体_GB2312" w:cs="楷体_GB2312"/>
          <w:sz w:val="32"/>
          <w:szCs w:val="40"/>
          <w:lang w:eastAsia="zh-CN"/>
        </w:rPr>
        <w:t>。</w:t>
      </w:r>
      <w:r>
        <w:rPr>
          <w:rFonts w:hint="eastAsia" w:ascii="仿宋_GB2312" w:hAnsi="仿宋_GB2312" w:eastAsia="仿宋_GB2312" w:cs="仿宋_GB2312"/>
          <w:sz w:val="32"/>
          <w:szCs w:val="40"/>
          <w:lang w:eastAsia="zh-CN"/>
        </w:rPr>
        <w:t>将习近平法治思想纳入局党组理论学习中心组学习核心内容，</w:t>
      </w:r>
      <w:r>
        <w:rPr>
          <w:rFonts w:hint="eastAsia" w:ascii="仿宋_GB2312" w:hAnsi="仿宋_GB2312" w:eastAsia="仿宋_GB2312" w:cs="仿宋_GB2312"/>
          <w:sz w:val="32"/>
          <w:szCs w:val="40"/>
          <w:lang w:val="en-US" w:eastAsia="zh-CN"/>
        </w:rPr>
        <w:t>并</w:t>
      </w:r>
      <w:r>
        <w:rPr>
          <w:rFonts w:hint="eastAsia" w:ascii="仿宋_GB2312" w:hAnsi="仿宋_GB2312" w:eastAsia="仿宋_GB2312" w:cs="仿宋_GB2312"/>
          <w:sz w:val="32"/>
          <w:szCs w:val="40"/>
          <w:lang w:eastAsia="zh-CN"/>
        </w:rPr>
        <w:t>开展交流研讨，系统研读《习近平法治思想学习纲要》等著作，深刻把握“十一个坚持”核心要义，不断提升运用法治思维领导交通运输工作的能力。依托“三会一课”、法治讲座实现党员干部学习全覆盖，主持召开全系统法治建设会议</w:t>
      </w:r>
      <w:r>
        <w:rPr>
          <w:rFonts w:hint="eastAsia" w:ascii="Times New Roman" w:hAnsi="Times New Roman" w:eastAsia="仿宋_GB2312" w:cs="Times New Roman"/>
          <w:b w:val="0"/>
          <w:bCs w:val="0"/>
          <w:color w:val="auto"/>
          <w:kern w:val="2"/>
          <w:sz w:val="32"/>
          <w:szCs w:val="32"/>
          <w:lang w:val="en-US" w:eastAsia="zh-CN" w:bidi="ar-SA"/>
        </w:rPr>
        <w:t>4</w:t>
      </w:r>
      <w:r>
        <w:rPr>
          <w:rFonts w:hint="eastAsia" w:ascii="仿宋_GB2312" w:hAnsi="仿宋_GB2312" w:eastAsia="仿宋_GB2312" w:cs="仿宋_GB2312"/>
          <w:sz w:val="32"/>
          <w:szCs w:val="40"/>
          <w:lang w:eastAsia="zh-CN"/>
        </w:rPr>
        <w:t>次，亲自部署学习贯彻任务。坚持学用结合，将学习成果转化为行业规划、“放管服”改革、行政执法、矛盾化解等具体实践，确保</w:t>
      </w:r>
      <w:r>
        <w:rPr>
          <w:rFonts w:hint="eastAsia" w:ascii="仿宋_GB2312" w:hAnsi="仿宋_GB2312" w:eastAsia="仿宋_GB2312" w:cs="仿宋_GB2312"/>
          <w:sz w:val="32"/>
          <w:szCs w:val="40"/>
          <w:lang w:val="en-US" w:eastAsia="zh-CN"/>
        </w:rPr>
        <w:t>交通运输</w:t>
      </w:r>
      <w:r>
        <w:rPr>
          <w:rFonts w:hint="eastAsia" w:ascii="仿宋_GB2312" w:hAnsi="仿宋_GB2312" w:eastAsia="仿宋_GB2312" w:cs="仿宋_GB2312"/>
          <w:sz w:val="32"/>
          <w:szCs w:val="40"/>
          <w:lang w:eastAsia="zh-CN"/>
        </w:rPr>
        <w:t>各项工作始终在法治轨道上运行。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kern w:val="2"/>
          <w:sz w:val="32"/>
          <w:szCs w:val="40"/>
          <w:lang w:val="en-US" w:eastAsia="zh-CN" w:bidi="ar-SA"/>
        </w:rPr>
        <w:t>（二）压实第一责任，统筹推进法治建设各项任务。</w:t>
      </w:r>
      <w:r>
        <w:rPr>
          <w:rFonts w:hint="eastAsia" w:ascii="仿宋_GB2312" w:hAnsi="仿宋_GB2312" w:eastAsia="仿宋_GB2312" w:cs="仿宋_GB2312"/>
          <w:i w:val="0"/>
          <w:iCs w:val="0"/>
          <w:caps w:val="0"/>
          <w:color w:val="0F1115"/>
          <w:spacing w:val="0"/>
          <w:sz w:val="32"/>
          <w:szCs w:val="32"/>
          <w:shd w:val="clear" w:fill="FFFFFF"/>
        </w:rPr>
        <w:t>一是严格执行《党组议事规则》及“三重一大”决策制度，落实民主集中制与末位表态制，全年召开党组会</w:t>
      </w:r>
      <w:r>
        <w:rPr>
          <w:rFonts w:hint="eastAsia" w:ascii="Times New Roman" w:hAnsi="Times New Roman" w:eastAsia="仿宋_GB2312" w:cs="Times New Roman"/>
          <w:b w:val="0"/>
          <w:bCs w:val="0"/>
          <w:color w:val="auto"/>
          <w:kern w:val="2"/>
          <w:sz w:val="32"/>
          <w:szCs w:val="32"/>
          <w:lang w:val="en-US" w:eastAsia="zh-CN" w:bidi="ar-SA"/>
        </w:rPr>
        <w:t>36</w:t>
      </w:r>
      <w:r>
        <w:rPr>
          <w:rFonts w:hint="eastAsia" w:ascii="仿宋_GB2312" w:hAnsi="仿宋_GB2312" w:eastAsia="仿宋_GB2312" w:cs="仿宋_GB2312"/>
          <w:i w:val="0"/>
          <w:iCs w:val="0"/>
          <w:caps w:val="0"/>
          <w:color w:val="0F1115"/>
          <w:spacing w:val="0"/>
          <w:sz w:val="32"/>
          <w:szCs w:val="32"/>
          <w:shd w:val="clear" w:fill="FFFFFF"/>
        </w:rPr>
        <w:t>次，研究重大事项</w:t>
      </w:r>
      <w:r>
        <w:rPr>
          <w:rFonts w:hint="eastAsia" w:ascii="Times New Roman" w:hAnsi="Times New Roman" w:eastAsia="仿宋_GB2312" w:cs="Times New Roman"/>
          <w:b w:val="0"/>
          <w:bCs w:val="0"/>
          <w:color w:val="auto"/>
          <w:kern w:val="2"/>
          <w:sz w:val="32"/>
          <w:szCs w:val="32"/>
          <w:lang w:val="en-US" w:eastAsia="zh-CN" w:bidi="ar-SA"/>
        </w:rPr>
        <w:t>110</w:t>
      </w:r>
      <w:r>
        <w:rPr>
          <w:rFonts w:hint="eastAsia" w:ascii="仿宋_GB2312" w:hAnsi="仿宋_GB2312" w:eastAsia="仿宋_GB2312" w:cs="仿宋_GB2312"/>
          <w:i w:val="0"/>
          <w:iCs w:val="0"/>
          <w:caps w:val="0"/>
          <w:color w:val="0F1115"/>
          <w:spacing w:val="0"/>
          <w:sz w:val="32"/>
          <w:szCs w:val="32"/>
          <w:shd w:val="clear" w:fill="FFFFFF"/>
        </w:rPr>
        <w:t>项。二是紧盯行政审批、执法、项目建设等重点领域，深化综合执法改革，全面落实执法“三项制度”，开展案卷评查与评议考核，持续规范执法行为。三是积极化解拖欠中小企业账款，全年清理债务</w:t>
      </w:r>
      <w:r>
        <w:rPr>
          <w:rFonts w:hint="eastAsia" w:ascii="Times New Roman" w:hAnsi="Times New Roman" w:eastAsia="仿宋_GB2312" w:cs="Times New Roman"/>
          <w:b w:val="0"/>
          <w:bCs w:val="0"/>
          <w:color w:val="auto"/>
          <w:kern w:val="2"/>
          <w:sz w:val="32"/>
          <w:szCs w:val="32"/>
          <w:lang w:val="en-US" w:eastAsia="zh-CN" w:bidi="ar-SA"/>
        </w:rPr>
        <w:t>6050.8</w:t>
      </w:r>
      <w:r>
        <w:rPr>
          <w:rFonts w:hint="eastAsia" w:ascii="仿宋_GB2312" w:hAnsi="仿宋_GB2312" w:eastAsia="仿宋_GB2312" w:cs="仿宋_GB2312"/>
          <w:i w:val="0"/>
          <w:iCs w:val="0"/>
          <w:caps w:val="0"/>
          <w:color w:val="0F1115"/>
          <w:spacing w:val="0"/>
          <w:sz w:val="32"/>
          <w:szCs w:val="32"/>
          <w:shd w:val="clear" w:fill="FFFFFF"/>
        </w:rPr>
        <w:t>万元。四是认真落实普法责任制，结合重要节点开展集中宣传、进企普法等活动</w:t>
      </w:r>
      <w:r>
        <w:rPr>
          <w:rFonts w:hint="eastAsia" w:ascii="Times New Roman" w:hAnsi="Times New Roman" w:eastAsia="仿宋_GB2312" w:cs="Times New Roman"/>
          <w:b w:val="0"/>
          <w:bCs w:val="0"/>
          <w:color w:val="auto"/>
          <w:kern w:val="2"/>
          <w:sz w:val="32"/>
          <w:szCs w:val="32"/>
          <w:lang w:val="en-US" w:eastAsia="zh-CN" w:bidi="ar-SA"/>
        </w:rPr>
        <w:t>8</w:t>
      </w:r>
      <w:r>
        <w:rPr>
          <w:rFonts w:hint="eastAsia" w:ascii="仿宋_GB2312" w:hAnsi="仿宋_GB2312" w:eastAsia="仿宋_GB2312" w:cs="仿宋_GB2312"/>
          <w:i w:val="0"/>
          <w:iCs w:val="0"/>
          <w:caps w:val="0"/>
          <w:color w:val="0F1115"/>
          <w:spacing w:val="0"/>
          <w:sz w:val="32"/>
          <w:szCs w:val="32"/>
          <w:shd w:val="clear" w:fill="FFFFFF"/>
        </w:rPr>
        <w:t>次，发布普法信息</w:t>
      </w:r>
      <w:r>
        <w:rPr>
          <w:rFonts w:hint="eastAsia" w:ascii="Times New Roman" w:hAnsi="Times New Roman" w:eastAsia="仿宋_GB2312" w:cs="Times New Roman"/>
          <w:b w:val="0"/>
          <w:bCs w:val="0"/>
          <w:color w:val="auto"/>
          <w:kern w:val="2"/>
          <w:sz w:val="32"/>
          <w:szCs w:val="32"/>
          <w:lang w:val="en-US" w:eastAsia="zh-CN" w:bidi="ar-SA"/>
        </w:rPr>
        <w:t>118</w:t>
      </w:r>
      <w:r>
        <w:rPr>
          <w:rFonts w:hint="eastAsia" w:ascii="仿宋_GB2312" w:hAnsi="仿宋_GB2312" w:eastAsia="仿宋_GB2312" w:cs="仿宋_GB2312"/>
          <w:i w:val="0"/>
          <w:iCs w:val="0"/>
          <w:caps w:val="0"/>
          <w:color w:val="0F1115"/>
          <w:spacing w:val="0"/>
          <w:sz w:val="32"/>
          <w:szCs w:val="32"/>
          <w:shd w:val="clear" w:fill="FFFFFF"/>
        </w:rPr>
        <w:t>篇；依法推进政务公开，全年公示执法案件等信息</w:t>
      </w:r>
      <w:r>
        <w:rPr>
          <w:rFonts w:hint="eastAsia" w:ascii="Times New Roman" w:hAnsi="Times New Roman" w:eastAsia="仿宋_GB2312" w:cs="Times New Roman"/>
          <w:b w:val="0"/>
          <w:bCs w:val="0"/>
          <w:color w:val="auto"/>
          <w:kern w:val="2"/>
          <w:sz w:val="32"/>
          <w:szCs w:val="32"/>
          <w:lang w:val="en-US" w:eastAsia="zh-CN" w:bidi="ar-SA"/>
        </w:rPr>
        <w:t>10</w:t>
      </w:r>
      <w:r>
        <w:rPr>
          <w:rFonts w:hint="eastAsia" w:ascii="仿宋_GB2312" w:hAnsi="仿宋_GB2312" w:eastAsia="仿宋_GB2312" w:cs="仿宋_GB2312"/>
          <w:i w:val="0"/>
          <w:iCs w:val="0"/>
          <w:caps w:val="0"/>
          <w:color w:val="0F1115"/>
          <w:spacing w:val="0"/>
          <w:sz w:val="32"/>
          <w:szCs w:val="32"/>
          <w:shd w:val="clear" w:fill="FFFFFF"/>
        </w:rPr>
        <w:t>余篇。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楷体_GB2312" w:hAnsi="楷体_GB2312" w:eastAsia="楷体_GB2312" w:cs="楷体_GB2312"/>
          <w:kern w:val="2"/>
          <w:sz w:val="32"/>
          <w:szCs w:val="40"/>
          <w:highlight w:val="none"/>
          <w:lang w:val="en-US" w:eastAsia="zh-CN" w:bidi="ar-SA"/>
        </w:rPr>
        <w:t>（三）坚守安全底线。</w:t>
      </w:r>
      <w:r>
        <w:rPr>
          <w:rFonts w:hint="eastAsia" w:ascii="仿宋_GB2312" w:hAnsi="仿宋_GB2312" w:eastAsia="仿宋_GB2312" w:cs="仿宋_GB2312"/>
          <w:kern w:val="2"/>
          <w:sz w:val="32"/>
          <w:szCs w:val="40"/>
          <w:highlight w:val="none"/>
          <w:lang w:val="en-US" w:eastAsia="zh-CN" w:bidi="ar-SA"/>
        </w:rPr>
        <w:t>坚决扛</w:t>
      </w:r>
      <w:r>
        <w:rPr>
          <w:rFonts w:hint="eastAsia" w:ascii="Times New Roman" w:hAnsi="Times New Roman" w:eastAsia="仿宋_GB2312" w:cs="Times New Roman"/>
          <w:b w:val="0"/>
          <w:bCs w:val="0"/>
          <w:color w:val="auto"/>
          <w:kern w:val="2"/>
          <w:sz w:val="32"/>
          <w:szCs w:val="32"/>
          <w:lang w:val="en-US" w:eastAsia="zh-CN" w:bidi="ar-SA"/>
        </w:rPr>
        <w:t>起行业安全稳定政治责任，将维稳要求深度融入法治实践。一是依法化解矛盾，全年办结投诉咨询642件，协调解决运输费拖欠、工程款纠纷等问题，涉及金额15.77万元；协助43辆货车申领报废更新补贴308.4万元，切实保障群众权益。二是强化安全保障，严格落实客运站“实名制+安检”双百分百，开展危货运输专项检查60余次、整改隐患98处，实现客运、公交、出租车智能监控全覆盖，提升行业本质安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楷体_GB2312" w:hAnsi="楷体_GB2312" w:eastAsia="楷体_GB2312" w:cs="楷体_GB2312"/>
          <w:kern w:val="2"/>
          <w:sz w:val="32"/>
          <w:szCs w:val="40"/>
          <w:highlight w:val="none"/>
          <w:lang w:val="en-US" w:eastAsia="zh-CN" w:bidi="ar-SA"/>
        </w:rPr>
        <w:t>（四）聚焦中心大局，以法治服务保障高质量发展。</w:t>
      </w:r>
      <w:r>
        <w:rPr>
          <w:rFonts w:hint="eastAsia" w:ascii="仿宋_GB2312" w:hAnsi="仿宋_GB2312" w:eastAsia="仿宋_GB2312" w:cs="仿宋_GB2312"/>
          <w:kern w:val="2"/>
          <w:sz w:val="32"/>
          <w:szCs w:val="40"/>
          <w:highlight w:val="none"/>
          <w:lang w:val="en-US" w:eastAsia="zh-CN" w:bidi="ar-SA"/>
        </w:rPr>
        <w:t>一是深化“放管服”改革，推行“一网通办”，审批时限压缩</w:t>
      </w:r>
      <w:r>
        <w:rPr>
          <w:rFonts w:hint="eastAsia" w:ascii="Times New Roman" w:hAnsi="Times New Roman" w:eastAsia="仿宋_GB2312" w:cs="Times New Roman"/>
          <w:b w:val="0"/>
          <w:bCs w:val="0"/>
          <w:color w:val="auto"/>
          <w:kern w:val="2"/>
          <w:sz w:val="32"/>
          <w:szCs w:val="32"/>
          <w:lang w:val="en-US" w:eastAsia="zh-CN" w:bidi="ar-SA"/>
        </w:rPr>
        <w:t>65%</w:t>
      </w:r>
      <w:r>
        <w:rPr>
          <w:rFonts w:hint="eastAsia" w:ascii="仿宋_GB2312" w:hAnsi="仿宋_GB2312" w:eastAsia="仿宋_GB2312" w:cs="仿宋_GB2312"/>
          <w:kern w:val="2"/>
          <w:sz w:val="32"/>
          <w:szCs w:val="40"/>
          <w:highlight w:val="none"/>
          <w:lang w:val="en-US" w:eastAsia="zh-CN" w:bidi="ar-SA"/>
        </w:rPr>
        <w:t>以上，发放告知书</w:t>
      </w:r>
      <w:r>
        <w:rPr>
          <w:rFonts w:hint="eastAsia" w:ascii="Times New Roman" w:hAnsi="Times New Roman" w:eastAsia="仿宋_GB2312" w:cs="Times New Roman"/>
          <w:b w:val="0"/>
          <w:bCs w:val="0"/>
          <w:color w:val="auto"/>
          <w:kern w:val="2"/>
          <w:sz w:val="32"/>
          <w:szCs w:val="32"/>
          <w:lang w:val="en-US" w:eastAsia="zh-CN" w:bidi="ar-SA"/>
        </w:rPr>
        <w:t>400</w:t>
      </w:r>
      <w:r>
        <w:rPr>
          <w:rFonts w:hint="eastAsia" w:ascii="仿宋_GB2312" w:hAnsi="仿宋_GB2312" w:eastAsia="仿宋_GB2312" w:cs="仿宋_GB2312"/>
          <w:kern w:val="2"/>
          <w:sz w:val="32"/>
          <w:szCs w:val="40"/>
          <w:highlight w:val="none"/>
          <w:lang w:val="en-US" w:eastAsia="zh-CN" w:bidi="ar-SA"/>
        </w:rPr>
        <w:t>余份，办理电子证照</w:t>
      </w:r>
      <w:r>
        <w:rPr>
          <w:rFonts w:hint="eastAsia" w:ascii="Times New Roman" w:hAnsi="Times New Roman" w:eastAsia="仿宋_GB2312" w:cs="Times New Roman"/>
          <w:b w:val="0"/>
          <w:bCs w:val="0"/>
          <w:color w:val="auto"/>
          <w:kern w:val="2"/>
          <w:sz w:val="32"/>
          <w:szCs w:val="32"/>
          <w:lang w:val="en-US" w:eastAsia="zh-CN" w:bidi="ar-SA"/>
        </w:rPr>
        <w:t>2671</w:t>
      </w:r>
      <w:r>
        <w:rPr>
          <w:rFonts w:hint="eastAsia" w:ascii="仿宋_GB2312" w:hAnsi="仿宋_GB2312" w:eastAsia="仿宋_GB2312" w:cs="仿宋_GB2312"/>
          <w:kern w:val="2"/>
          <w:sz w:val="32"/>
          <w:szCs w:val="40"/>
          <w:highlight w:val="none"/>
          <w:lang w:val="en-US" w:eastAsia="zh-CN" w:bidi="ar-SA"/>
        </w:rPr>
        <w:t>件，提供帮办服务</w:t>
      </w:r>
      <w:r>
        <w:rPr>
          <w:rFonts w:hint="eastAsia" w:ascii="Times New Roman" w:hAnsi="Times New Roman" w:eastAsia="仿宋_GB2312" w:cs="Times New Roman"/>
          <w:b w:val="0"/>
          <w:bCs w:val="0"/>
          <w:color w:val="auto"/>
          <w:kern w:val="2"/>
          <w:sz w:val="32"/>
          <w:szCs w:val="32"/>
          <w:lang w:val="en-US" w:eastAsia="zh-CN" w:bidi="ar-SA"/>
        </w:rPr>
        <w:t>48</w:t>
      </w:r>
      <w:r>
        <w:rPr>
          <w:rFonts w:hint="eastAsia" w:ascii="仿宋_GB2312" w:hAnsi="仿宋_GB2312" w:eastAsia="仿宋_GB2312" w:cs="仿宋_GB2312"/>
          <w:kern w:val="2"/>
          <w:sz w:val="32"/>
          <w:szCs w:val="40"/>
          <w:highlight w:val="none"/>
          <w:lang w:val="en-US" w:eastAsia="zh-CN" w:bidi="ar-SA"/>
        </w:rPr>
        <w:t>次。二是强化监管执法，联合多部门开展专项整治</w:t>
      </w:r>
      <w:r>
        <w:rPr>
          <w:rFonts w:hint="eastAsia" w:ascii="Times New Roman" w:hAnsi="Times New Roman" w:eastAsia="仿宋_GB2312" w:cs="Times New Roman"/>
          <w:b w:val="0"/>
          <w:bCs w:val="0"/>
          <w:color w:val="auto"/>
          <w:kern w:val="2"/>
          <w:sz w:val="32"/>
          <w:szCs w:val="32"/>
          <w:lang w:val="en-US" w:eastAsia="zh-CN" w:bidi="ar-SA"/>
        </w:rPr>
        <w:t>40</w:t>
      </w:r>
      <w:r>
        <w:rPr>
          <w:rFonts w:hint="eastAsia" w:ascii="仿宋_GB2312" w:hAnsi="仿宋_GB2312" w:eastAsia="仿宋_GB2312" w:cs="仿宋_GB2312"/>
          <w:kern w:val="2"/>
          <w:sz w:val="32"/>
          <w:szCs w:val="40"/>
          <w:highlight w:val="none"/>
          <w:lang w:val="en-US" w:eastAsia="zh-CN" w:bidi="ar-SA"/>
        </w:rPr>
        <w:t>余次，查处案件</w:t>
      </w:r>
      <w:r>
        <w:rPr>
          <w:rFonts w:hint="eastAsia" w:ascii="Times New Roman" w:hAnsi="Times New Roman" w:eastAsia="仿宋_GB2312" w:cs="Times New Roman"/>
          <w:b w:val="0"/>
          <w:bCs w:val="0"/>
          <w:color w:val="auto"/>
          <w:kern w:val="2"/>
          <w:sz w:val="32"/>
          <w:szCs w:val="32"/>
          <w:lang w:val="en-US" w:eastAsia="zh-CN" w:bidi="ar-SA"/>
        </w:rPr>
        <w:t>155</w:t>
      </w:r>
      <w:r>
        <w:rPr>
          <w:rFonts w:hint="eastAsia" w:ascii="仿宋_GB2312" w:hAnsi="仿宋_GB2312" w:eastAsia="仿宋_GB2312" w:cs="仿宋_GB2312"/>
          <w:kern w:val="2"/>
          <w:sz w:val="32"/>
          <w:szCs w:val="40"/>
          <w:highlight w:val="none"/>
          <w:lang w:val="en-US" w:eastAsia="zh-CN" w:bidi="ar-SA"/>
        </w:rPr>
        <w:t>起，建立出租车服务质量“红黑榜”。三是推行“扫码入企”智慧监管，累计开展日常及专项检查</w:t>
      </w:r>
      <w:r>
        <w:rPr>
          <w:rFonts w:hint="eastAsia" w:ascii="Times New Roman" w:hAnsi="Times New Roman" w:eastAsia="仿宋_GB2312" w:cs="Times New Roman"/>
          <w:b w:val="0"/>
          <w:bCs w:val="0"/>
          <w:color w:val="auto"/>
          <w:kern w:val="2"/>
          <w:sz w:val="32"/>
          <w:szCs w:val="32"/>
          <w:lang w:val="en-US" w:eastAsia="zh-CN" w:bidi="ar-SA"/>
        </w:rPr>
        <w:t>10项</w:t>
      </w:r>
      <w:r>
        <w:rPr>
          <w:rFonts w:hint="eastAsia" w:ascii="仿宋_GB2312" w:hAnsi="仿宋_GB2312" w:eastAsia="仿宋_GB2312" w:cs="仿宋_GB2312"/>
          <w:kern w:val="2"/>
          <w:sz w:val="32"/>
          <w:szCs w:val="40"/>
          <w:highlight w:val="none"/>
          <w:lang w:val="en-US" w:eastAsia="zh-CN" w:bidi="ar-SA"/>
        </w:rPr>
        <w:t>，覆盖企业</w:t>
      </w:r>
      <w:r>
        <w:rPr>
          <w:rFonts w:hint="eastAsia" w:ascii="Times New Roman" w:hAnsi="Times New Roman" w:eastAsia="仿宋_GB2312" w:cs="Times New Roman"/>
          <w:b w:val="0"/>
          <w:bCs w:val="0"/>
          <w:color w:val="auto"/>
          <w:kern w:val="2"/>
          <w:sz w:val="32"/>
          <w:szCs w:val="32"/>
          <w:lang w:val="en-US" w:eastAsia="zh-CN" w:bidi="ar-SA"/>
        </w:rPr>
        <w:t>114家，实现检查全程留痕、溯源可查。</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kern w:val="2"/>
          <w:sz w:val="32"/>
          <w:szCs w:val="40"/>
          <w:lang w:val="en-US" w:eastAsia="zh-CN" w:bidi="ar-SA"/>
        </w:rPr>
      </w:pPr>
      <w:r>
        <w:rPr>
          <w:rFonts w:hint="eastAsia" w:ascii="楷体_GB2312" w:hAnsi="楷体_GB2312" w:eastAsia="楷体_GB2312" w:cs="楷体_GB2312"/>
          <w:kern w:val="2"/>
          <w:sz w:val="32"/>
          <w:szCs w:val="40"/>
          <w:lang w:val="en-US" w:eastAsia="zh-CN" w:bidi="ar-SA"/>
        </w:rPr>
        <w:t>（五）问题整改情况。</w:t>
      </w:r>
      <w:r>
        <w:rPr>
          <w:rFonts w:hint="default" w:ascii="Times New Roman" w:hAnsi="Times New Roman" w:eastAsia="仿宋_GB2312" w:cs="Times New Roman"/>
          <w:b w:val="0"/>
          <w:bCs w:val="0"/>
          <w:color w:val="auto"/>
          <w:sz w:val="32"/>
          <w:szCs w:val="32"/>
          <w:lang w:val="en-US" w:eastAsia="zh-CN"/>
        </w:rPr>
        <w:t>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年以来，我坚持以习近平法治思想为指导，</w:t>
      </w:r>
      <w:r>
        <w:rPr>
          <w:rFonts w:hint="eastAsia" w:ascii="Times New Roman" w:hAnsi="Times New Roman" w:eastAsia="仿宋_GB2312" w:cs="Times New Roman"/>
          <w:b w:val="0"/>
          <w:bCs w:val="0"/>
          <w:color w:val="auto"/>
          <w:sz w:val="32"/>
          <w:szCs w:val="32"/>
          <w:lang w:val="en-US" w:eastAsia="zh-CN"/>
        </w:rPr>
        <w:t>严格履行职责，全面</w:t>
      </w:r>
      <w:r>
        <w:rPr>
          <w:rFonts w:hint="default" w:ascii="Times New Roman" w:hAnsi="Times New Roman" w:eastAsia="仿宋_GB2312" w:cs="Times New Roman"/>
          <w:b w:val="0"/>
          <w:bCs w:val="0"/>
          <w:color w:val="auto"/>
          <w:sz w:val="32"/>
          <w:szCs w:val="32"/>
          <w:lang w:val="en-US" w:eastAsia="zh-CN"/>
        </w:rPr>
        <w:t>推进交通运输领域法治建设，202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年述法报告中</w:t>
      </w:r>
      <w:r>
        <w:rPr>
          <w:rFonts w:hint="default" w:ascii="Times New Roman" w:hAnsi="Times New Roman"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sz w:val="32"/>
          <w:szCs w:val="32"/>
          <w:lang w:val="en-US" w:eastAsia="zh-CN"/>
        </w:rPr>
        <w:t>个问题已全部整改完毕。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法治学习深度与实践融合不足，运用法治思维破解难题的能力有待提升。虽然我局坚持将习近平法治思想纳入党组理论学习中心组学习内容，也组织了多次专题学习和研讨，但在“学用结合、知行合一”方面仍存在差距。比如：一是理论学习与实践转化存在“温差”。部分学习活动仍停留在传达文件、解读概念的层面，未能紧密结合乌苏市交通运输行业发展的具体实际，特别是围绕客货运市场新老业态冲突监管、农村公路“建管养运”一体化法治保障、重大交通项目全周期合规管理等重点难点工作，开展有针对性、前瞻性的法治对策研讨不够深入。二是运用法治思维破解现实挑战的效能有待增强。面对长期存在且治理难度较大的顽瘴痼疾，例如货运车辆超限超载的源头治理与路面执法的有效衔接、各类非法营运行为的精准识别与长效打击、新业态领域监管职责与法律风险的界定等，有时仍习惯于依靠传统经验和行政手段，未能充分、娴熟地运用法治思维分析矛盾根源，运用法治方式系统性地构建解决方案，导致部分治理措施效果不够持久，创新突破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是法治长效机制建设有待完善，决策与监督的法治化水平仍需提高。当前，交通运输领域法治建设的系统性、协同性有待加强。一方面，依法决策的保障机制需进一步夯实。法律顾问参与重大行政决策的前置审核和全过程咨询的作用发挥尚不充分，相关机制不够健全。部分涉及重大公共利益、复杂法律关系的行政决策事项，其合法性审查有时存在流程启动滞后、审查深度不足的问题，风险预警和防范的前瞻性有待提升。另一方面，常态化、精细化的法治监督体系有待健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黑体" w:hAnsi="黑体" w:eastAsia="黑体" w:cs="黑体"/>
          <w:b w:val="0"/>
          <w:bCs w:val="0"/>
          <w:color w:val="auto"/>
          <w:sz w:val="32"/>
          <w:szCs w:val="32"/>
          <w:lang w:val="en-US" w:eastAsia="zh-CN"/>
        </w:rPr>
        <w:t>三、下一步工作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kern w:val="2"/>
          <w:sz w:val="32"/>
          <w:szCs w:val="40"/>
          <w:lang w:val="en-US" w:eastAsia="zh-CN" w:bidi="ar-SA"/>
        </w:rPr>
      </w:pPr>
      <w:r>
        <w:rPr>
          <w:rFonts w:hint="default" w:ascii="仿宋_GB2312" w:hAnsi="仿宋_GB2312" w:eastAsia="仿宋_GB2312" w:cs="仿宋_GB2312"/>
          <w:kern w:val="2"/>
          <w:sz w:val="32"/>
          <w:szCs w:val="40"/>
          <w:lang w:val="en-US" w:eastAsia="zh-CN" w:bidi="ar-SA"/>
        </w:rPr>
        <w:t>下一步，我将继续坚决履行好推进法治建设第一责任人职责</w:t>
      </w:r>
      <w:r>
        <w:rPr>
          <w:rFonts w:hint="eastAsia" w:ascii="仿宋_GB2312" w:hAnsi="仿宋_GB2312" w:eastAsia="仿宋_GB2312" w:cs="仿宋_GB2312"/>
          <w:kern w:val="2"/>
          <w:sz w:val="32"/>
          <w:szCs w:val="40"/>
          <w:lang w:val="en-US" w:eastAsia="zh-CN" w:bidi="ar-SA"/>
        </w:rPr>
        <w:t>，一是深化法治理论学习与实践融合，提升依法履职能力。 将系统学习习近平法治思想作为党的政治建设的核心内容，制定年度专题学习计划并严格执行。每月组织一次“法治+业务”融合研讨，聚焦乌苏市交通基础设施规划建设、客货运市场秩序整治、农村公路管养法治保障、行政执法典型案例剖析等具体实践场景，推动班子成员和执法人员深入研讨法治原则在具体工作中的运用路径，着力破解超限超载源头治理、新业态监管等难点问题，切实将学习成果转化为运用法治思维深化改革、推动发展、化解矛盾、维护稳定的实际能力。二是健全法治长效机制，筑牢依法决策监督防线。 全面优化依法决策程序，完善法律顾问全过程参与机制，明确其列席涉及重大公共利益、复杂法律关系的党组会议，并在政策制定、合同审查、纠纷处置等环节提前介入、提供专业法律意见。同时，修订完善合法性审查工作细则，确保所有重大行政决策、规范性文件、重要合作协议必须经规范合法性审查与风险评估，从源头防范法律风险。通过机制化建设，持续提升行政决策的科学性、民主性与合法性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仿宋_GB2312" w:hAnsi="仿宋_GB2312" w:eastAsia="仿宋_GB2312" w:cs="仿宋_GB2312"/>
          <w:kern w:val="2"/>
          <w:sz w:val="32"/>
          <w:szCs w:val="40"/>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FkZTE3NTQxYjZiODlhZmFkYWUwYWI4MzEyZDMifQ=="/>
  </w:docVars>
  <w:rsids>
    <w:rsidRoot w:val="3D3E5B68"/>
    <w:rsid w:val="03233818"/>
    <w:rsid w:val="0E14142A"/>
    <w:rsid w:val="1CE271A3"/>
    <w:rsid w:val="25F021DE"/>
    <w:rsid w:val="3D3E5B68"/>
    <w:rsid w:val="68D7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样式1"/>
    <w:next w:val="3"/>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index 5"/>
    <w:basedOn w:val="1"/>
    <w:next w:val="1"/>
    <w:qFormat/>
    <w:uiPriority w:val="0"/>
    <w:pPr>
      <w:ind w:left="1680"/>
    </w:pPr>
    <w:rPr>
      <w:rFonts w:ascii="Times New Roman" w:hAnsi="Times New Roman" w:eastAsia="方正仿宋简体" w:cs="Times New Roman"/>
    </w:rPr>
  </w:style>
  <w:style w:type="paragraph" w:styleId="4">
    <w:name w:val="Normal (Web)"/>
    <w:basedOn w:val="1"/>
    <w:autoRedefine/>
    <w:qFormat/>
    <w:uiPriority w:val="0"/>
    <w:rPr>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2077</Words>
  <Characters>2124</Characters>
  <Lines>0</Lines>
  <Paragraphs>0</Paragraphs>
  <TotalTime>64</TotalTime>
  <ScaleCrop>false</ScaleCrop>
  <LinksUpToDate>false</LinksUpToDate>
  <CharactersWithSpaces>2128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2025-12-01T03:32:00Z</dcterms:created>
  <dc:creator>名字不重要</dc:creator>
  <cp:lastModifiedBy>喜文</cp:lastModifiedBy>
  <dcterms:modified xsi:type="dcterms:W3CDTF">2026-03-09T10:07:05Z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E6FC13B512014763885B6D892FFB3427_13</vt:lpwstr>
  </property>
  <property fmtid="{D5CDD505-2E9C-101B-9397-08002B2CF9AE}" pid="4" name="KSOTemplateDocerSaveRecord">
    <vt:lpwstr>eyJoZGlkIjoiMDljYzUzMWQ4OWI0YzBkYjYzMDRhZTY5ZjZkYmFmYTgiLCJ1c2VySWQiOiI0MDk4NDg1NjkifQ==</vt:lpwstr>
  </property>
</Properties>
</file>