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乌苏市教育和科学技术局党组副书记、局长  李作勇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述法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强化理论武装，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保障法治教育顺利开展。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本人坚持以习近平法治思想为指导，全面贯彻落实党的二十大和二十届二中、三中、四中全会精神，依法全面履行教育职责，持续提高运用法治思维和法治方式深化改革、推动法治、化解矛盾、维护稳定的能力。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我高度重视法治理论学习，通过参加党组会、党组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理论学习中心组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自治区法治讲堂·逢九必讲”主题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线上学习平台等多种方式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加强法治理论提升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带头学习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习近平法治思想和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相关法律法规，确保法治观念深入人心。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自觉履行法治建设第一责任人职责，对法治建设亲自部署、亲自协调、亲自督办。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完善法治制度，规范教育行政行为。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在制度建设方面，注重完善法治制度，确保教育行政行为的合法性和规范性。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完善“三重一大”决策制度和领导班子议事规则，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为依法行政提供了有力保障。同时，加强了对学校法治工作的指导和监督，确保学校各项工作的合法合规。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）贯彻落实“一规划两纲要”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，确保法治建设规范化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将法治建设“一规划两纲要”作为依法行政的纲领性文件，纳入全年工作要点，督促班子成员认真履行各自分管领域的法治建设工作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制定分解方案。坚决落实党组领导的校长负责制，紧贴“法治国家、法治政府、法治社会”三位一体的建设实践，不断强化事前公开、规范事中公开、严格事后公开。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加强法治教育，提升师生法治意识。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为增强师生的法治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，创新方式方法，开展了丰富多彩的法治宣传教育活动。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发挥校园主阵地作用，落实法治课进校园、进教材、进课堂。开展民法典、宪法等学习宣传活动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余场次。结合“八五”普法工作，开展预防性侵害、心理健康、反诈骗等专题活动达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余次，受教育师生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万余人。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加强法治队伍建设，提升法治工作水平。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在法治队伍建设方面，注重提升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人员的专业素养和工作能力。组织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人员参加培训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，不断提高他们的法律素养和业务能力。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同时，聘请公检法司业务骨干担任法治副校长，定期开展普法进校园。目前聘请法治副校长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。扎实化解矛盾纠纷，严格执行《信访工作条例》，多元合力化解矛盾纠纷。共办结网上信访7件；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热线即办、乌苏网格化精准服务智慧平台反映40余件。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二、亮点工作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（一）落实校园法律顾问制度，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维护师生合法权益。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为更好地维护师生合法权益，我们与多家律师事务所建立合作关系，为全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学校聘请了专业的法律顾问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制定法律顾问工作制度、法律顾问考核细则，明确了法律顾问的职责，建立法律顾问工作台账。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在这一年中，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教科局法律顾问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审查合同共计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份。在合同审查方面，严格把关，对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单位签订的各类合同进行了全面、细致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审查，确保合同条款的合法性、明确性和可操作性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有效维护了师生的合法权益，促进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教科系统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的和谐稳定。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（二）扎实开展法治教育，增强师生法治意识。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严格执行“谁执法谁普法”责任清单，认真落实“八五”普法要求：一是坚持把学习贯彻习近平法治思想作为党组会、理论学习中心组重要学习内容，参加理论学习中心组学习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次，机关干部集中学习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余次。二是通过周二学习、寒暑假前一周集中学习等形式，以学校为单位组织全市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余名教职工全覆盖学习宪法、党内法规。三是全面落实《青少年法治教育大纲》，开足开齐法治课程，同时，在宪法宣传日，宣传周活动期间，组织开展主题班会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余次、国旗下宣讲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场次，制作标语共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条、宣传板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块、张贴宣传画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张、出黑板报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期、发布新闻稿件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篇、模拟法庭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场次。平时也常态化开展法治教育，邀请法治副校长、公安民警入校开展法治讲座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余场次，受益师生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万余人。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三、问题短板和下一步打算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在2025年虽然我局在推进法治建设方面做了大量工作，取得了一定成绩，但仍存在一些不足，主要表现在：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（一）法治意识需要进一步提高。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部分机关工作人员理论学习的连续性、系统性、全面性还不够，把学习落实到实践中还不够充分。行政执法人员运用法治思维和法治方式解决问题的能力有待提高。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（二）法治教育开展形式比较单一。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主要表现为依靠班会、开学第一课和学校组织的活动开展。虽然按计划推进法治教育课程，开展相关活动，但青少年法治教育针对性、实效性还有所欠缺，学生法治意识还需要进一步增强。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（三）教育行政执法力量相对薄弱。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随着教育事业的发展，教育行政执法任务日益繁重，但目前我局教育行政执法人员的业务能力和综合素质有待提高，影响了教育行政执法工作的有效开展。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为了进一步开展好教育系统今后的法治建设工作，补齐短板，我们将下一步打算：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（一）理论性与实践性相结合。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聘请普法宣讲团到学校举办专题讲座，讲解未成年人保护法、预防未成年人犯罪法、教育法等法律知识，注重理论与实践相结合，提高普法教育质量和效果。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（二）专项活动与法治课程相结合。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课堂法治教育主渠道作用，根据不同年龄段学生生理、心理特点和接受能力制定授课内容，坚持品德教育与法治教育并重、理论教育与实践活动并行，不断完善学校法治课程制度体系，把法治宣传教育工作真正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（三）切实加强法治宣传氛围营造。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在各校园设置永久性法治宣传标识，增强法律元素，努力营造浓厚的法治宣传氛围。抓实“谁执法谁普法”责任制，有针对性、经常性、多渠道全方面加强师生普法宣传教育。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（四）传统性与创新性相结合。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在利用黑板报、橱窗、广播、法治宣传栏等传统普法手段基础上，充分利用网络资源和信息技术平台，积极开创新载体、新途径，使青少年普法教育适应时代发展需要。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（五）加强教育行政执法队伍建设。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加大对执法人员的培训力度，定期组织执法人员参加业务培训和实践锻炼，提高执法人员的业务能力和综合素质。建立健全执法人员考核评价机制，加强对执法人员的监督管理，确保执法人员依法履行职责。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  <w:docVar w:name="KSO_WPS_MARK_KEY" w:val="378d27cd-fad8-4ce7-94da-c24b7efc4483"/>
  </w:docVars>
  <w:rsids>
    <w:rsidRoot w:val="00000000"/>
    <w:rsid w:val="004855E8"/>
    <w:rsid w:val="028716A2"/>
    <w:rsid w:val="0A5C15CB"/>
    <w:rsid w:val="0E8F4618"/>
    <w:rsid w:val="11460BFE"/>
    <w:rsid w:val="13BF31B2"/>
    <w:rsid w:val="14E804E7"/>
    <w:rsid w:val="195E16BF"/>
    <w:rsid w:val="19923117"/>
    <w:rsid w:val="1AFD0A64"/>
    <w:rsid w:val="1ED1023E"/>
    <w:rsid w:val="20A07C76"/>
    <w:rsid w:val="241B3BE7"/>
    <w:rsid w:val="25FA0FD5"/>
    <w:rsid w:val="26D03519"/>
    <w:rsid w:val="28B5297E"/>
    <w:rsid w:val="2A954815"/>
    <w:rsid w:val="2E886EC6"/>
    <w:rsid w:val="2EA2770C"/>
    <w:rsid w:val="31666F0B"/>
    <w:rsid w:val="31BB619A"/>
    <w:rsid w:val="32A72B8A"/>
    <w:rsid w:val="33723946"/>
    <w:rsid w:val="349849ED"/>
    <w:rsid w:val="349F1D0E"/>
    <w:rsid w:val="35B77D36"/>
    <w:rsid w:val="36641975"/>
    <w:rsid w:val="367774C5"/>
    <w:rsid w:val="36D13BB6"/>
    <w:rsid w:val="38023BA2"/>
    <w:rsid w:val="3ABA2190"/>
    <w:rsid w:val="3BF85348"/>
    <w:rsid w:val="3DF965E8"/>
    <w:rsid w:val="3F5B78C3"/>
    <w:rsid w:val="41566655"/>
    <w:rsid w:val="440A6511"/>
    <w:rsid w:val="449B7410"/>
    <w:rsid w:val="46252A99"/>
    <w:rsid w:val="47D716A0"/>
    <w:rsid w:val="4A25455E"/>
    <w:rsid w:val="4A7D1C49"/>
    <w:rsid w:val="4FB4750B"/>
    <w:rsid w:val="533341EF"/>
    <w:rsid w:val="54E04CB9"/>
    <w:rsid w:val="57DE6820"/>
    <w:rsid w:val="59FC4E9B"/>
    <w:rsid w:val="5A6574B1"/>
    <w:rsid w:val="60685A9C"/>
    <w:rsid w:val="63F8270D"/>
    <w:rsid w:val="649317EA"/>
    <w:rsid w:val="65FE2EFC"/>
    <w:rsid w:val="69C50710"/>
    <w:rsid w:val="6C3321FD"/>
    <w:rsid w:val="6C4D1836"/>
    <w:rsid w:val="71234583"/>
    <w:rsid w:val="725D1A6B"/>
    <w:rsid w:val="75EE63BE"/>
    <w:rsid w:val="7BF1074D"/>
    <w:rsid w:val="7E7D4DE4"/>
    <w:rsid w:val="7EFE7AED"/>
    <w:rsid w:val="7F5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字 1"/>
    <w:basedOn w:val="1"/>
    <w:next w:val="1"/>
    <w:qFormat/>
    <w:uiPriority w:val="99"/>
    <w:pPr>
      <w:ind w:left="240"/>
    </w:pPr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2319</Words>
  <Characters>2358</Characters>
  <Lines>0</Lines>
  <Paragraphs>0</Paragraphs>
  <TotalTime>20</TotalTime>
  <ScaleCrop>false</ScaleCrop>
  <LinksUpToDate>false</LinksUpToDate>
  <CharactersWithSpaces>2360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2024-12-17T04:15:00Z</dcterms:created>
  <dc:creator>Naz1</dc:creator>
  <cp:lastModifiedBy>喜文</cp:lastModifiedBy>
  <dcterms:modified xsi:type="dcterms:W3CDTF">2026-03-10T02:52:57Z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71FA393DB99743E6885B9F26A077C6F4</vt:lpwstr>
  </property>
</Properties>
</file>