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乌苏市人力资源和社会保障局2025年度法治政府建设工作</w:t>
      </w:r>
      <w:r>
        <w:rPr>
          <w:rFonts w:hint="eastAsia" w:ascii="方正小标宋简体" w:hAnsi="方正小标宋简体" w:eastAsia="方正小标宋简体" w:cs="方正小标宋简体"/>
          <w:sz w:val="44"/>
          <w:szCs w:val="44"/>
          <w:lang w:eastAsia="zh-CN"/>
        </w:rPr>
        <w:t>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2025年，乌苏市人力资源和社会保障局在市委、市政府的</w:t>
      </w:r>
      <w:r>
        <w:rPr>
          <w:rFonts w:hint="default" w:ascii="Times New Roman" w:hAnsi="Times New Roman" w:eastAsia="仿宋_GB2312" w:cs="Times New Roman"/>
          <w:sz w:val="32"/>
          <w:szCs w:val="32"/>
          <w:highlight w:val="none"/>
        </w:rPr>
        <w:t>坚强领导</w:t>
      </w:r>
      <w:r>
        <w:rPr>
          <w:rFonts w:hint="default" w:ascii="Times New Roman" w:hAnsi="Times New Roman" w:eastAsia="仿宋_GB2312" w:cs="Times New Roman"/>
          <w:sz w:val="32"/>
          <w:szCs w:val="32"/>
        </w:rPr>
        <w:t>下，深入学习贯彻习近平法治思想，紧紧围绕法治政府建设目标，将法治思维和法治方式贯穿于人社工作的全过程、各环节，扎实推进法治政府建设，为全市经济社会高质量发展提供了坚实的法治保障。现将一年来的工作情况汇报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一、2025年法治政府建设情况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rPr>
      </w:pPr>
      <w:r>
        <w:rPr>
          <w:rFonts w:hint="default" w:ascii="Times New Roman" w:hAnsi="Times New Roman" w:eastAsia="楷体" w:cs="Times New Roman"/>
          <w:sz w:val="32"/>
          <w:szCs w:val="32"/>
        </w:rPr>
        <w:t>（一）</w:t>
      </w:r>
      <w:r>
        <w:rPr>
          <w:rFonts w:hint="eastAsia" w:ascii="楷体_GB2312" w:hAnsi="楷体_GB2312" w:eastAsia="楷体_GB2312" w:cs="楷体_GB2312"/>
          <w:sz w:val="32"/>
          <w:szCs w:val="32"/>
        </w:rPr>
        <w:t>强化组织领导，压实法治建设责任</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default" w:ascii="楷体_GB2312" w:hAnsi="楷体_GB2312" w:eastAsia="楷体_GB2312" w:cs="楷体_GB2312"/>
          <w:b/>
          <w:bCs/>
          <w:sz w:val="32"/>
          <w:szCs w:val="32"/>
        </w:rPr>
        <w:t>主要负责人履职尽责</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局主要负责人切实履行推进法治政府建设第一责任人职责，将法治建设纳入年度重点工作计划，与业务工作同部署、同落实、同考核。全年主持召开党组会议专题研究法治建设工作2次，审议法治建设规划，确保法治建设各项要求在人社系统落地生根。</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lang w:val="en-US" w:eastAsia="zh-CN"/>
        </w:rPr>
        <w:t>2.</w:t>
      </w:r>
      <w:r>
        <w:rPr>
          <w:rFonts w:hint="default" w:ascii="楷体_GB2312" w:hAnsi="楷体_GB2312" w:eastAsia="楷体_GB2312" w:cs="楷体_GB2312"/>
          <w:b/>
          <w:bCs/>
          <w:sz w:val="32"/>
          <w:szCs w:val="32"/>
        </w:rPr>
        <w:t>健全工作机制</w:t>
      </w:r>
      <w:r>
        <w:rPr>
          <w:rFonts w:hint="default" w:ascii="楷体_GB2312" w:hAnsi="楷体_GB2312" w:eastAsia="楷体_GB2312" w:cs="楷体_GB2312"/>
          <w:b/>
          <w:bCs/>
          <w:sz w:val="32"/>
          <w:szCs w:val="32"/>
          <w:lang w:eastAsia="zh-CN"/>
        </w:rPr>
        <w:t>。</w:t>
      </w:r>
      <w:r>
        <w:rPr>
          <w:rFonts w:hint="default" w:ascii="Times New Roman" w:hAnsi="Times New Roman" w:eastAsia="仿宋_GB2312" w:cs="Times New Roman"/>
          <w:sz w:val="32"/>
          <w:szCs w:val="32"/>
        </w:rPr>
        <w:t>成立由主要负责人任组长的法治建设工作领导小组，明确各成员职责分工，构建起“主要领导亲自抓、分管领导具体抓、各科室协同推进、全员参与落实”的工作格局。制定《2025年法治政府建设工作要点》，细化全局法治建设任务，保障法治建设工作顺利开展。</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lang w:val="en-US" w:eastAsia="zh-CN"/>
        </w:rPr>
        <w:t>3.加强法治学习。</w:t>
      </w:r>
      <w:r>
        <w:rPr>
          <w:rFonts w:hint="default" w:ascii="Times New Roman" w:hAnsi="Times New Roman" w:eastAsia="仿宋_GB2312" w:cs="Times New Roman"/>
          <w:sz w:val="32"/>
          <w:szCs w:val="32"/>
        </w:rPr>
        <w:t>将习近平法治思想、《中华人民共和国宪法》及人社领域核心法律法规纳入党组理论学习中心组和干部教育培训重点。全年开展党组理论学习中心组学法8次，专题学习习近平法治思想6次，组织法治专题培训2场，推动领导干部带头运用法治思维和法治方式破解工作难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rPr>
      </w:pPr>
      <w:r>
        <w:rPr>
          <w:rFonts w:hint="default" w:ascii="Times New Roman" w:hAnsi="Times New Roman" w:eastAsia="楷体" w:cs="Times New Roman"/>
          <w:sz w:val="32"/>
          <w:szCs w:val="32"/>
        </w:rPr>
        <w:t>（二）</w:t>
      </w:r>
      <w:r>
        <w:rPr>
          <w:rFonts w:hint="eastAsia" w:ascii="楷体_GB2312" w:hAnsi="楷体_GB2312" w:eastAsia="楷体_GB2312" w:cs="楷体_GB2312"/>
          <w:sz w:val="32"/>
          <w:szCs w:val="32"/>
        </w:rPr>
        <w:t>规范行政执法，提升依法行政水平</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楷体_GB2312" w:hAnsi="楷体_GB2312" w:eastAsia="楷体_GB2312" w:cs="楷体_GB2312"/>
          <w:b/>
          <w:bCs/>
          <w:sz w:val="32"/>
          <w:szCs w:val="32"/>
          <w:lang w:val="en-US" w:eastAsia="zh-CN"/>
        </w:rPr>
        <w:t>1.</w:t>
      </w:r>
      <w:r>
        <w:rPr>
          <w:rFonts w:hint="default" w:ascii="楷体_GB2312" w:hAnsi="楷体_GB2312" w:eastAsia="楷体_GB2312" w:cs="楷体_GB2312"/>
          <w:b/>
          <w:bCs/>
          <w:sz w:val="32"/>
          <w:szCs w:val="32"/>
        </w:rPr>
        <w:t>严格落实行政执法“三项制度”</w:t>
      </w:r>
      <w:r>
        <w:rPr>
          <w:rFonts w:hint="default" w:ascii="楷体_GB2312" w:hAnsi="楷体_GB2312" w:eastAsia="楷体_GB2312" w:cs="楷体_GB2312"/>
          <w:b/>
          <w:bCs/>
          <w:sz w:val="32"/>
          <w:szCs w:val="32"/>
          <w:lang w:eastAsia="zh-CN"/>
        </w:rPr>
        <w:t>。</w:t>
      </w:r>
      <w:r>
        <w:rPr>
          <w:rFonts w:hint="default" w:ascii="Times New Roman" w:hAnsi="Times New Roman" w:eastAsia="仿宋_GB2312" w:cs="Times New Roman"/>
          <w:sz w:val="32"/>
          <w:szCs w:val="32"/>
        </w:rPr>
        <w:t>全面推行行政执法公示、全过程记录和重大执法决定法制审核制度。公开行政许可、行政处罚信息，规范执法文书制作归档，确保执法行为全程可溯可查。全年共有行政执法事项</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项，其中行政处罚</w:t>
      </w:r>
      <w:r>
        <w:rPr>
          <w:rFonts w:hint="default" w:ascii="Times New Roman" w:hAnsi="Times New Roman" w:eastAsia="仿宋_GB2312" w:cs="Times New Roman"/>
          <w:sz w:val="32"/>
          <w:szCs w:val="32"/>
          <w:lang w:val="en-US" w:eastAsia="zh-CN"/>
        </w:rPr>
        <w:t>119</w:t>
      </w:r>
      <w:r>
        <w:rPr>
          <w:rFonts w:hint="default" w:ascii="Times New Roman" w:hAnsi="Times New Roman" w:eastAsia="仿宋_GB2312" w:cs="Times New Roman"/>
          <w:sz w:val="32"/>
          <w:szCs w:val="32"/>
        </w:rPr>
        <w:t>项，涵盖劳动保障监察领域各类违法行为；行政确认</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项，包括工伤认定；行政许可</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项，如人力资源服务许可、劳务派遣经营许可</w:t>
      </w:r>
      <w:r>
        <w:rPr>
          <w:rFonts w:hint="default" w:ascii="Times New Roman" w:hAnsi="Times New Roman" w:eastAsia="仿宋_GB2312" w:cs="Times New Roman"/>
          <w:sz w:val="32"/>
          <w:szCs w:val="32"/>
          <w:lang w:eastAsia="zh-CN"/>
        </w:rPr>
        <w:t>、企业实行不定时工作制和综合计算工时工作制审批</w:t>
      </w:r>
      <w:r>
        <w:rPr>
          <w:rFonts w:hint="default" w:ascii="Times New Roman" w:hAnsi="Times New Roman" w:eastAsia="仿宋_GB2312" w:cs="Times New Roman"/>
          <w:sz w:val="32"/>
          <w:szCs w:val="32"/>
        </w:rPr>
        <w:t>；行政给付</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项，涉及失业保险金申领、工伤保险待遇支付等；行政</w:t>
      </w:r>
      <w:r>
        <w:rPr>
          <w:rFonts w:hint="default" w:ascii="Times New Roman" w:hAnsi="Times New Roman" w:eastAsia="仿宋_GB2312" w:cs="Times New Roman"/>
          <w:sz w:val="32"/>
          <w:szCs w:val="32"/>
          <w:lang w:eastAsia="zh-CN"/>
        </w:rPr>
        <w:t>检查</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项，主要</w:t>
      </w:r>
      <w:r>
        <w:rPr>
          <w:rFonts w:hint="eastAsia" w:ascii="Times New Roman" w:hAnsi="Times New Roman" w:eastAsia="仿宋_GB2312" w:cs="Times New Roman"/>
          <w:sz w:val="32"/>
          <w:szCs w:val="32"/>
          <w:lang w:eastAsia="zh-CN"/>
        </w:rPr>
        <w:t>涉及</w:t>
      </w:r>
      <w:r>
        <w:rPr>
          <w:rFonts w:hint="default" w:ascii="Times New Roman" w:hAnsi="Times New Roman" w:eastAsia="仿宋_GB2312" w:cs="Times New Roman"/>
          <w:sz w:val="32"/>
          <w:szCs w:val="32"/>
        </w:rPr>
        <w:t>劳动保障监察</w:t>
      </w:r>
      <w:r>
        <w:rPr>
          <w:rFonts w:hint="default" w:ascii="Times New Roman" w:hAnsi="Times New Roman" w:eastAsia="仿宋_GB2312" w:cs="Times New Roman"/>
          <w:sz w:val="32"/>
          <w:szCs w:val="32"/>
          <w:lang w:eastAsia="zh-CN"/>
        </w:rPr>
        <w:t>领域</w:t>
      </w:r>
      <w:r>
        <w:rPr>
          <w:rFonts w:hint="default" w:ascii="Times New Roman" w:hAnsi="Times New Roman" w:eastAsia="仿宋_GB2312" w:cs="Times New Roman"/>
          <w:sz w:val="32"/>
          <w:szCs w:val="32"/>
        </w:rPr>
        <w:t>；行政</w:t>
      </w:r>
      <w:r>
        <w:rPr>
          <w:rFonts w:hint="default" w:ascii="Times New Roman" w:hAnsi="Times New Roman" w:eastAsia="仿宋_GB2312" w:cs="Times New Roman"/>
          <w:sz w:val="32"/>
          <w:szCs w:val="32"/>
          <w:lang w:eastAsia="zh-CN"/>
        </w:rPr>
        <w:t>强制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lang w:val="en-US" w:eastAsia="zh-CN"/>
        </w:rPr>
        <w:t>2.加强重点领域监管。</w:t>
      </w:r>
      <w:r>
        <w:rPr>
          <w:rFonts w:hint="default" w:ascii="Times New Roman" w:hAnsi="Times New Roman" w:eastAsia="仿宋_GB2312" w:cs="Times New Roman"/>
          <w:sz w:val="32"/>
          <w:szCs w:val="32"/>
        </w:rPr>
        <w:t>聚焦劳动关系、社会保障等关键领域，加大执法检查力度。开展根治欠薪冬季行动、人力资源市场秩序专项整治等劳动用工专项检查及日常巡查行动。全年共</w:t>
      </w:r>
      <w:r>
        <w:rPr>
          <w:rFonts w:hint="default" w:ascii="Times New Roman" w:hAnsi="Times New Roman" w:eastAsia="仿宋_GB2312" w:cs="Times New Roman"/>
          <w:sz w:val="32"/>
          <w:szCs w:val="32"/>
          <w:lang w:eastAsia="zh-CN"/>
        </w:rPr>
        <w:t>监督</w:t>
      </w:r>
      <w:r>
        <w:rPr>
          <w:rFonts w:hint="default" w:ascii="Times New Roman" w:hAnsi="Times New Roman" w:eastAsia="仿宋_GB2312" w:cs="Times New Roman"/>
          <w:sz w:val="32"/>
          <w:szCs w:val="32"/>
        </w:rPr>
        <w:t>企业</w:t>
      </w:r>
      <w:r>
        <w:rPr>
          <w:rFonts w:hint="default" w:ascii="Times New Roman" w:hAnsi="Times New Roman" w:eastAsia="仿宋_GB2312" w:cs="Times New Roman"/>
          <w:sz w:val="32"/>
          <w:szCs w:val="32"/>
          <w:lang w:eastAsia="zh-CN"/>
        </w:rPr>
        <w:t>办理劳动用工备案</w:t>
      </w:r>
      <w:r>
        <w:rPr>
          <w:rFonts w:hint="default" w:ascii="Times New Roman" w:hAnsi="Times New Roman" w:eastAsia="仿宋_GB2312" w:cs="Times New Roman"/>
          <w:sz w:val="32"/>
          <w:szCs w:val="32"/>
          <w:lang w:val="en-US" w:eastAsia="zh-CN"/>
        </w:rPr>
        <w:t>377</w:t>
      </w:r>
      <w:r>
        <w:rPr>
          <w:rFonts w:hint="default" w:ascii="Times New Roman" w:hAnsi="Times New Roman" w:eastAsia="仿宋_GB2312" w:cs="Times New Roman"/>
          <w:sz w:val="32"/>
          <w:szCs w:val="32"/>
        </w:rPr>
        <w:t>家，</w:t>
      </w:r>
      <w:r>
        <w:rPr>
          <w:rFonts w:hint="default" w:ascii="Times New Roman" w:hAnsi="Times New Roman" w:eastAsia="仿宋_GB2312" w:cs="Times New Roman"/>
          <w:kern w:val="0"/>
          <w:sz w:val="32"/>
          <w:szCs w:val="32"/>
          <w:lang w:bidi="ar"/>
        </w:rPr>
        <w:t>收欠薪案件2227件</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仿宋_GB2312" w:cs="Times New Roman"/>
          <w:sz w:val="32"/>
          <w:szCs w:val="32"/>
        </w:rPr>
        <w:t>为劳动者追讨欠薪</w:t>
      </w:r>
      <w:r>
        <w:rPr>
          <w:rFonts w:hint="default" w:ascii="Times New Roman" w:hAnsi="Times New Roman" w:eastAsia="仿宋_GB2312" w:cs="Times New Roman"/>
          <w:kern w:val="0"/>
          <w:sz w:val="32"/>
          <w:szCs w:val="32"/>
          <w:lang w:bidi="ar"/>
        </w:rPr>
        <w:t>3324.25</w:t>
      </w:r>
      <w:r>
        <w:rPr>
          <w:rFonts w:hint="default" w:ascii="Times New Roman" w:hAnsi="Times New Roman" w:eastAsia="仿宋_GB2312" w:cs="Times New Roman"/>
          <w:sz w:val="32"/>
          <w:szCs w:val="32"/>
        </w:rPr>
        <w:t>万元，切实维护了劳动者合法权益。</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lang w:val="en-US" w:eastAsia="zh-CN"/>
        </w:rPr>
        <w:t>3.规范行政权力运行。</w:t>
      </w:r>
      <w:r>
        <w:rPr>
          <w:rFonts w:hint="default" w:ascii="Times New Roman" w:hAnsi="Times New Roman" w:eastAsia="仿宋_GB2312" w:cs="Times New Roman"/>
          <w:sz w:val="32"/>
          <w:szCs w:val="32"/>
        </w:rPr>
        <w:t>严格执行行政许可事项清单管理，持续优化审批服务流程，落实“一次性告知”“限时办结”制度。加强行政规范性文件管理，严格履行合法性审核和公平竞争审查程序，确保文件制定程序规范、内容合法。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w:t>
      </w:r>
      <w:r>
        <w:rPr>
          <w:rFonts w:hint="eastAsia" w:ascii="楷体_GB2312" w:hAnsi="楷体_GB2312" w:eastAsia="楷体_GB2312" w:cs="楷体_GB2312"/>
          <w:sz w:val="32"/>
          <w:szCs w:val="32"/>
        </w:rPr>
        <w:t>深化普法宣传，增强公众法律意识</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lang w:val="en-US" w:eastAsia="zh-CN"/>
        </w:rPr>
        <w:t>1.创新普法形式。</w:t>
      </w:r>
      <w:r>
        <w:rPr>
          <w:rFonts w:hint="default" w:ascii="Times New Roman" w:hAnsi="Times New Roman" w:eastAsia="仿宋_GB2312" w:cs="Times New Roman"/>
          <w:sz w:val="32"/>
          <w:szCs w:val="32"/>
        </w:rPr>
        <w:t>依托“乌苏人社”微信公众号等新媒体平台，开设“普法专栏”，定期推送政策解读、案例分析、法律知识问答等内容。同时，采取展板展示、专题讲座、案例分析等多种传统形式，兼顾不同群体接受习惯，推动法治知识深入人心。</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lang w:val="en-US" w:eastAsia="zh-CN"/>
        </w:rPr>
        <w:t>2.开展精准普法活动。</w:t>
      </w:r>
      <w:r>
        <w:rPr>
          <w:rFonts w:hint="default" w:ascii="Times New Roman" w:hAnsi="Times New Roman" w:eastAsia="仿宋_GB2312" w:cs="Times New Roman"/>
          <w:sz w:val="32"/>
          <w:szCs w:val="32"/>
        </w:rPr>
        <w:t>聚焦农民工维权、企业用工规范、社保待遇申领等热点问题，开展“进企业、进社区、进乡村、进学校、进单位”普法宣传活动</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场次，设立社保、劳动保障等专项咨询点，发放宣传资料</w:t>
      </w:r>
      <w:r>
        <w:rPr>
          <w:rFonts w:hint="default" w:ascii="Times New Roman" w:hAnsi="Times New Roman" w:eastAsia="仿宋_GB2312" w:cs="Times New Roman"/>
          <w:sz w:val="32"/>
          <w:szCs w:val="32"/>
          <w:lang w:val="en-US" w:eastAsia="zh-CN"/>
        </w:rPr>
        <w:t>3000</w:t>
      </w:r>
      <w:r>
        <w:rPr>
          <w:rFonts w:hint="default" w:ascii="Times New Roman" w:hAnsi="Times New Roman" w:eastAsia="仿宋_GB2312" w:cs="Times New Roman"/>
          <w:sz w:val="32"/>
          <w:szCs w:val="32"/>
        </w:rPr>
        <w:t>余份，</w:t>
      </w:r>
      <w:r>
        <w:rPr>
          <w:rFonts w:hint="default" w:ascii="Times New Roman" w:hAnsi="Times New Roman" w:eastAsia="仿宋_GB2312" w:cs="Times New Roman"/>
          <w:sz w:val="32"/>
          <w:szCs w:val="32"/>
          <w:highlight w:val="none"/>
        </w:rPr>
        <w:t>举办专题讲座</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场</w:t>
      </w:r>
      <w:r>
        <w:rPr>
          <w:rFonts w:hint="default" w:ascii="Times New Roman" w:hAnsi="Times New Roman" w:eastAsia="仿宋_GB2312" w:cs="Times New Roman"/>
          <w:sz w:val="32"/>
          <w:szCs w:val="32"/>
        </w:rPr>
        <w:t>，切实打通法治宣传“最后一公里”。</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楷体_GB2312" w:hAnsi="楷体_GB2312" w:eastAsia="楷体_GB2312" w:cs="楷体_GB2312"/>
          <w:b/>
          <w:bCs/>
          <w:sz w:val="32"/>
          <w:szCs w:val="32"/>
          <w:lang w:val="en-US" w:eastAsia="zh-CN"/>
        </w:rPr>
        <w:t>3.搭建基层普法平台。</w:t>
      </w:r>
      <w:r>
        <w:rPr>
          <w:rFonts w:hint="default" w:ascii="Times New Roman" w:hAnsi="Times New Roman" w:eastAsia="仿宋_GB2312" w:cs="Times New Roman"/>
          <w:sz w:val="32"/>
          <w:szCs w:val="32"/>
        </w:rPr>
        <w:t>依托乡镇（街道）劳动保障服务中心，构建基层法治服务阵地，按计划分阶段开展法治宣讲、纠纷调解、政策解读等活动，让群众在家门口就能获得专业法律服务。</w:t>
      </w:r>
      <w:r>
        <w:rPr>
          <w:rFonts w:hint="default" w:ascii="Times New Roman" w:hAnsi="Times New Roman" w:eastAsia="仿宋_GB2312" w:cs="Times New Roman"/>
          <w:sz w:val="32"/>
          <w:szCs w:val="32"/>
          <w:lang w:eastAsia="zh-CN"/>
        </w:rPr>
        <w:t>结合社保与养老工作，</w:t>
      </w:r>
      <w:r>
        <w:rPr>
          <w:rFonts w:hint="default" w:ascii="Times New Roman" w:hAnsi="Times New Roman" w:eastAsia="仿宋_GB2312" w:cs="Times New Roman"/>
          <w:kern w:val="0"/>
          <w:sz w:val="32"/>
          <w:szCs w:val="32"/>
          <w:lang w:bidi="ar"/>
        </w:rPr>
        <w:t>组织专题宣传活动50场次，通过线上线下结合方式覆盖群众12.44万人次</w:t>
      </w:r>
      <w:r>
        <w:rPr>
          <w:rFonts w:hint="default" w:ascii="Times New Roman" w:hAnsi="Times New Roman" w:eastAsia="仿宋_GB2312" w:cs="Times New Roman"/>
          <w:kern w:val="0"/>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（四）依法化解矛盾纠纷，维护社会和谐稳定</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lang w:eastAsia="zh-CN"/>
        </w:rPr>
      </w:pP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rPr>
        <w:t>畅通投诉举报渠道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依托“12345”政务服务便民热线、局长信箱、现场投诉等多元投诉举报渠道，明确办理时限和责任分工，对群众反映的医疗卫生服务、公共场所卫生等问题，及时调查核实并依法处理，按时向群众反馈处理结果。全年共受理各类投诉举报</w:t>
      </w:r>
      <w:r>
        <w:rPr>
          <w:rFonts w:hint="default" w:ascii="Times New Roman" w:hAnsi="Times New Roman" w:eastAsia="仿宋_GB2312" w:cs="Times New Roman"/>
          <w:sz w:val="32"/>
          <w:szCs w:val="32"/>
          <w:lang w:val="en-US" w:eastAsia="zh-CN"/>
        </w:rPr>
        <w:t>997</w:t>
      </w:r>
      <w:r>
        <w:rPr>
          <w:rFonts w:hint="default" w:ascii="Times New Roman" w:hAnsi="Times New Roman" w:eastAsia="仿宋_GB2312" w:cs="Times New Roman"/>
          <w:sz w:val="32"/>
          <w:szCs w:val="32"/>
        </w:rPr>
        <w:t>件，</w:t>
      </w:r>
      <w:r>
        <w:rPr>
          <w:rFonts w:hint="default" w:ascii="Times New Roman" w:hAnsi="Times New Roman" w:eastAsia="仿宋_GB2312" w:cs="Times New Roman"/>
          <w:b w:val="0"/>
          <w:bCs w:val="0"/>
          <w:color w:val="auto"/>
          <w:kern w:val="0"/>
          <w:sz w:val="32"/>
          <w:szCs w:val="32"/>
          <w:highlight w:val="none"/>
          <w:lang w:val="en-US" w:eastAsia="zh-CN"/>
        </w:rPr>
        <w:t>办结率达94.5%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处理率、回复率均达100%</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rPr>
        <w:t>加强劳动争议调解仲裁</w:t>
      </w:r>
      <w:r>
        <w:rPr>
          <w:rFonts w:hint="eastAsia" w:ascii="楷体_GB2312" w:hAnsi="楷体_GB2312" w:eastAsia="楷体_GB2312" w:cs="楷体_GB2312"/>
          <w:b/>
          <w:bCs/>
          <w:sz w:val="32"/>
          <w:szCs w:val="32"/>
          <w:lang w:eastAsia="zh-CN"/>
        </w:rPr>
        <w:t>。</w:t>
      </w:r>
      <w:r>
        <w:rPr>
          <w:rFonts w:hint="default" w:ascii="Times New Roman" w:hAnsi="Times New Roman" w:eastAsia="仿宋_GB2312" w:cs="Times New Roman"/>
          <w:sz w:val="32"/>
          <w:szCs w:val="32"/>
        </w:rPr>
        <w:t>推动完善劳动争议多元化解机制，提升仲裁调解公信力。加强调解仲裁机构和队伍建设，目前我市共有劳动人事争议调解中心</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个。全年共受理立案劳动人事争议仲裁案件</w:t>
      </w:r>
      <w:r>
        <w:rPr>
          <w:rFonts w:hint="default" w:ascii="Times New Roman" w:hAnsi="Times New Roman" w:eastAsia="仿宋_GB2312" w:cs="Times New Roman"/>
          <w:sz w:val="32"/>
          <w:szCs w:val="32"/>
          <w:lang w:val="en-US" w:eastAsia="zh-CN"/>
        </w:rPr>
        <w:t>153</w:t>
      </w:r>
      <w:r>
        <w:rPr>
          <w:rFonts w:hint="default" w:ascii="Times New Roman" w:hAnsi="Times New Roman" w:eastAsia="仿宋_GB2312" w:cs="Times New Roman"/>
          <w:sz w:val="32"/>
          <w:szCs w:val="32"/>
        </w:rPr>
        <w:t>件，结案率</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%，通过调解（撤诉）结案</w:t>
      </w:r>
      <w:r>
        <w:rPr>
          <w:rFonts w:hint="default" w:ascii="Times New Roman" w:hAnsi="Times New Roman" w:eastAsia="仿宋_GB2312" w:cs="Times New Roman"/>
          <w:sz w:val="32"/>
          <w:szCs w:val="32"/>
          <w:lang w:val="en-US" w:eastAsia="zh-CN"/>
        </w:rPr>
        <w:t>144</w:t>
      </w:r>
      <w:r>
        <w:rPr>
          <w:rFonts w:hint="default" w:ascii="Times New Roman" w:hAnsi="Times New Roman" w:eastAsia="仿宋_GB2312" w:cs="Times New Roman"/>
          <w:sz w:val="32"/>
          <w:szCs w:val="32"/>
        </w:rPr>
        <w:t>件，调解率</w:t>
      </w:r>
      <w:r>
        <w:rPr>
          <w:rFonts w:hint="default" w:ascii="Times New Roman" w:hAnsi="Times New Roman" w:eastAsia="仿宋_GB2312" w:cs="Times New Roman"/>
          <w:sz w:val="32"/>
          <w:szCs w:val="32"/>
          <w:lang w:val="en-US" w:eastAsia="zh-CN"/>
        </w:rPr>
        <w:t>74.75</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val="en-US" w:eastAsia="zh-CN"/>
        </w:rPr>
        <w:t>2</w:t>
      </w:r>
      <w:r>
        <w:rPr>
          <w:rFonts w:hint="default" w:ascii="楷体_GB2312" w:hAnsi="楷体_GB2312" w:eastAsia="楷体_GB2312" w:cs="楷体_GB2312"/>
          <w:b/>
          <w:bCs/>
          <w:sz w:val="32"/>
          <w:szCs w:val="32"/>
          <w:lang w:val="en-US" w:eastAsia="zh-CN"/>
        </w:rPr>
        <w:t>.强化行政复议和行政诉讼应对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积极做好行政复议答复、行政诉讼答辩工作，依法履行出庭应诉职责，严格落实行政机关负责人出庭应诉制度。</w:t>
      </w:r>
      <w:r>
        <w:rPr>
          <w:rFonts w:hint="default" w:ascii="Times New Roman" w:hAnsi="Times New Roman" w:eastAsia="仿宋_GB2312" w:cs="Times New Roman"/>
          <w:sz w:val="32"/>
          <w:szCs w:val="32"/>
          <w:lang w:val="en-US" w:eastAsia="zh-CN"/>
        </w:rPr>
        <w:t>全年未发生行政复议和行政诉讼案件</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二、存在问题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（一）法治思维运用不够深入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部分干部重业务轻法治的倾向依然存在，在处理复杂问题、新兴领域矛盾时，运用法治方式破解难题的能力有待提升。对法律法规的学习不够系统深入，存在以干代学、学用脱节的现象。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（二）普法宣传精准度不足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针对新就业形态、灵活就业等群体的普法形式仍显单一，政策解读通俗化、具象化水平不够，部分群众对人社法律法规知晓率不高。普法宣传的针对性和实效性有待进一步提升，以满足不同群体的法治需求。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（三）执法效能有待提升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层执法力量相对薄弱，信息化执法手段应用深度不够，对隐蔽性、新型违法用工行为的发现和处置能力不足。部分执法人员在执法过程中存在程序不严谨、自由裁量权行使不够合理等问题，影响了行政执法的公正性和权威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（四）制度执行</w:t>
      </w:r>
      <w:r>
        <w:rPr>
          <w:rFonts w:hint="eastAsia" w:ascii="楷体_GB2312" w:hAnsi="楷体_GB2312" w:eastAsia="楷体_GB2312" w:cs="楷体_GB2312"/>
          <w:sz w:val="32"/>
          <w:szCs w:val="32"/>
          <w:highlight w:val="none"/>
        </w:rPr>
        <w:t>力度不均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部分政策法规在基层落实过程中存在“最后一公里”问题，裁审衔接的统一性、高效性有待进一步加强。部门间信息共享和执法联动机制不够健全，数据壁垒未完全打破，影响了监管执法和矛盾化解的整体效能。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三、2026年重点工作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（一）深化法治思想引领，提升法治素养</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lang w:val="en-US" w:eastAsia="zh-CN"/>
        </w:rPr>
        <w:t>1.</w:t>
      </w:r>
      <w:r>
        <w:rPr>
          <w:rFonts w:hint="default" w:ascii="楷体_GB2312" w:hAnsi="楷体_GB2312" w:eastAsia="楷体_GB2312" w:cs="楷体_GB2312"/>
          <w:b/>
          <w:bCs/>
          <w:sz w:val="32"/>
          <w:szCs w:val="32"/>
        </w:rPr>
        <w:t>持续加强法治学习</w:t>
      </w:r>
      <w:r>
        <w:rPr>
          <w:rFonts w:hint="default" w:ascii="楷体_GB2312" w:hAnsi="楷体_GB2312" w:eastAsia="楷体_GB2312" w:cs="楷体_GB2312"/>
          <w:b/>
          <w:bCs/>
          <w:sz w:val="32"/>
          <w:szCs w:val="32"/>
          <w:lang w:eastAsia="zh-CN"/>
        </w:rPr>
        <w:t>。</w:t>
      </w:r>
      <w:r>
        <w:rPr>
          <w:rFonts w:hint="default" w:ascii="Times New Roman" w:hAnsi="Times New Roman" w:eastAsia="仿宋_GB2312" w:cs="Times New Roman"/>
          <w:sz w:val="32"/>
          <w:szCs w:val="32"/>
        </w:rPr>
        <w:t>将习近平法治思想纳入党组理论学习中心组和干部培训核心内容，</w:t>
      </w:r>
      <w:r>
        <w:rPr>
          <w:rFonts w:hint="eastAsia" w:ascii="Times New Roman" w:hAnsi="Times New Roman" w:eastAsia="仿宋_GB2312" w:cs="Times New Roman"/>
          <w:sz w:val="32"/>
          <w:szCs w:val="32"/>
          <w:lang w:eastAsia="zh-CN"/>
        </w:rPr>
        <w:t>通过</w:t>
      </w:r>
      <w:r>
        <w:rPr>
          <w:rFonts w:hint="default" w:ascii="Times New Roman" w:hAnsi="Times New Roman" w:eastAsia="仿宋_GB2312" w:cs="Times New Roman"/>
          <w:sz w:val="32"/>
          <w:szCs w:val="32"/>
        </w:rPr>
        <w:t>举办法治专题讲座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法律知识竞赛、案例研讨等活动，实现干部职工法治培训全覆盖。完善学法用法考核机制，将法治素养和执法能力作为干部考核评价的重要依据，建立干部法治档案，倒逼干部提升运用法治思维解决实际问题的能力。</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lang w:val="en-US" w:eastAsia="zh-CN"/>
        </w:rPr>
        <w:t>2.加强重点领域制度供给</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围绕新业态用工、社保基金监管等热点问题，推进相关政策文件制定修订，健全政策法规动态调整机制。强化规范性文件全生命周期管理，扩大合法性审核覆盖面，实现重大决策、行政合同、执法文书审核“无死角”，提升制度建设质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（二）深化执法能力建设，规范行政执法行为</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lang w:val="en-US" w:eastAsia="zh-CN"/>
        </w:rPr>
        <w:t>1.加强执法业务培训。</w:t>
      </w:r>
      <w:r>
        <w:rPr>
          <w:rFonts w:hint="default" w:ascii="Times New Roman" w:hAnsi="Times New Roman" w:eastAsia="仿宋_GB2312" w:cs="Times New Roman"/>
          <w:sz w:val="32"/>
          <w:szCs w:val="32"/>
        </w:rPr>
        <w:t>开展执法业务培训，组织跨区域执法交流活动，培育一批专业化执法骨干，提升复杂案件处置能力。推行“说理式执法”，落实轻微违法行为包容审慎监管清单，实现执法与服务并重，营造包容有序的市场环境。</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lang w:val="en-US" w:eastAsia="zh-CN"/>
        </w:rPr>
        <w:t>2.强化执法监督问责。</w:t>
      </w:r>
      <w:r>
        <w:rPr>
          <w:rFonts w:hint="default" w:ascii="Times New Roman" w:hAnsi="Times New Roman" w:eastAsia="仿宋_GB2312" w:cs="Times New Roman"/>
          <w:sz w:val="32"/>
          <w:szCs w:val="32"/>
        </w:rPr>
        <w:t>建立健全行政执法内部监督与外部监督相结合的监督机制，定期开展行政执法案卷评查，对全年行政处罚、行政许可案卷进行全面评查，重点检查执法主体、程序、事实认定、法律适用及文书制作等方面，</w:t>
      </w:r>
      <w:r>
        <w:rPr>
          <w:rFonts w:hint="default" w:ascii="Times New Roman" w:hAnsi="Times New Roman" w:eastAsia="仿宋_GB2312" w:cs="Times New Roman"/>
          <w:sz w:val="32"/>
          <w:szCs w:val="32"/>
          <w:lang w:eastAsia="zh-CN"/>
        </w:rPr>
        <w:t>积极</w:t>
      </w:r>
      <w:r>
        <w:rPr>
          <w:rFonts w:hint="default" w:ascii="Times New Roman" w:hAnsi="Times New Roman" w:eastAsia="仿宋_GB2312" w:cs="Times New Roman"/>
          <w:sz w:val="32"/>
          <w:szCs w:val="32"/>
        </w:rPr>
        <w:t>执法案卷规范率提升至</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%以上。畅通外部监督渠道，主动接受社会公众、新闻媒体和上级部门监督，建立“接诉即办”“受理</w:t>
      </w:r>
      <w:r>
        <w:rPr>
          <w:rFonts w:hint="eastAsia" w:ascii="Times New Roman" w:hAnsi="Times New Roman" w:eastAsia="仿宋_GB2312" w:cs="Times New Roman"/>
          <w:sz w:val="32"/>
          <w:szCs w:val="32"/>
          <w:lang w:eastAsia="zh-CN"/>
        </w:rPr>
        <w:t>－</w:t>
      </w:r>
      <w:bookmarkStart w:id="0" w:name="_GoBack"/>
      <w:bookmarkEnd w:id="0"/>
      <w:r>
        <w:rPr>
          <w:rFonts w:hint="default" w:ascii="Times New Roman" w:hAnsi="Times New Roman" w:eastAsia="仿宋_GB2312" w:cs="Times New Roman"/>
          <w:sz w:val="32"/>
          <w:szCs w:val="32"/>
        </w:rPr>
        <w:t>转办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调查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反馈”闭环处理机制。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（三）深化裁审衔接机制，提升矛盾化解效能</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rPr>
        <w:t>统一法律适用标准</w:t>
      </w:r>
      <w:r>
        <w:rPr>
          <w:rFonts w:hint="eastAsia" w:ascii="楷体_GB2312" w:hAnsi="楷体_GB2312" w:eastAsia="楷体_GB2312" w:cs="楷体_GB2312"/>
          <w:b/>
          <w:bCs/>
          <w:sz w:val="32"/>
          <w:szCs w:val="32"/>
          <w:lang w:eastAsia="zh-CN"/>
        </w:rPr>
        <w:t>。</w:t>
      </w:r>
      <w:r>
        <w:rPr>
          <w:rFonts w:hint="default" w:ascii="Times New Roman" w:hAnsi="Times New Roman" w:eastAsia="仿宋_GB2312" w:cs="Times New Roman"/>
          <w:sz w:val="32"/>
          <w:szCs w:val="32"/>
        </w:rPr>
        <w:t>加强与司法部门的沟通协调，推进案件信息共享和结果互认，缩短争议化解周期。建立裁审衔接联席会议制度，定期研究解决裁审衔接过程中存在的问题，提升裁审衔接的统一性和高效性。</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rPr>
        <w:t>加强基层调解组织建设</w:t>
      </w:r>
      <w:r>
        <w:rPr>
          <w:rFonts w:hint="eastAsia" w:ascii="楷体_GB2312" w:hAnsi="楷体_GB2312" w:eastAsia="楷体_GB2312" w:cs="楷体_GB2312"/>
          <w:b/>
          <w:bCs/>
          <w:sz w:val="32"/>
          <w:szCs w:val="32"/>
          <w:lang w:eastAsia="zh-CN"/>
        </w:rPr>
        <w:t>。</w:t>
      </w:r>
      <w:r>
        <w:rPr>
          <w:rFonts w:hint="default" w:ascii="Times New Roman" w:hAnsi="Times New Roman" w:eastAsia="仿宋_GB2312" w:cs="Times New Roman"/>
          <w:sz w:val="32"/>
          <w:szCs w:val="32"/>
        </w:rPr>
        <w:t>开展调解员培训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培育专业化调解队伍，提升基层矛盾化解能力。扩大新就业形态劳动者职业伤害保障试点范围，完善特定群体权益保障政策，健全“纠纷化解+就业帮扶”服务模式。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（四）深化“放管服”改革，优化政务服务环境</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楷体_GB2312" w:hAnsi="楷体_GB2312" w:eastAsia="楷体_GB2312" w:cs="楷体_GB2312"/>
          <w:b/>
          <w:bCs/>
          <w:sz w:val="32"/>
          <w:szCs w:val="32"/>
          <w:lang w:val="en-US" w:eastAsia="zh-CN"/>
        </w:rPr>
        <w:t>1.持续推进“一件事一次办”改革。</w:t>
      </w:r>
      <w:r>
        <w:rPr>
          <w:rFonts w:hint="default" w:ascii="Times New Roman" w:hAnsi="Times New Roman" w:eastAsia="仿宋_GB2312" w:cs="Times New Roman"/>
          <w:sz w:val="32"/>
          <w:szCs w:val="32"/>
        </w:rPr>
        <w:t>优化政务服务流程，实现更多事项“全程网办”“跨省通办”，提升服务便捷度和企业群众满意度。</w:t>
      </w:r>
      <w:r>
        <w:rPr>
          <w:rFonts w:hint="default" w:ascii="Times New Roman" w:hAnsi="Times New Roman" w:eastAsia="仿宋_GB2312" w:cs="Times New Roman"/>
          <w:b w:val="0"/>
          <w:bCs w:val="0"/>
          <w:color w:val="auto"/>
          <w:sz w:val="32"/>
          <w:szCs w:val="32"/>
          <w:lang w:val="en-US" w:eastAsia="zh-CN"/>
        </w:rPr>
        <w:t>紧</w:t>
      </w:r>
      <w:r>
        <w:rPr>
          <w:rFonts w:hint="default" w:ascii="Times New Roman" w:hAnsi="Times New Roman" w:eastAsia="仿宋_GB2312" w:cs="Times New Roman"/>
          <w:b w:val="0"/>
          <w:bCs w:val="0"/>
          <w:color w:val="auto"/>
          <w:sz w:val="32"/>
          <w:szCs w:val="32"/>
          <w:highlight w:val="cyan"/>
          <w:lang w:val="en-US" w:eastAsia="zh-CN"/>
        </w:rPr>
        <w:t>推行</w:t>
      </w:r>
      <w:r>
        <w:rPr>
          <w:rFonts w:hint="default" w:ascii="Times New Roman" w:hAnsi="Times New Roman" w:eastAsia="仿宋_GB2312" w:cs="Times New Roman"/>
          <w:b w:val="0"/>
          <w:bCs w:val="0"/>
          <w:color w:val="auto"/>
          <w:sz w:val="32"/>
          <w:szCs w:val="32"/>
          <w:lang w:val="en-US" w:eastAsia="zh-CN"/>
        </w:rPr>
        <w:t>社保医保跨部门“一窗受理、内部流转、限时办结”模式，实现企业参保登记、灵活就业人员参保、缴费申报等15项高频业务“一窗通办”。</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楷体_GB2312" w:hAnsi="楷体_GB2312" w:eastAsia="楷体_GB2312" w:cs="楷体_GB2312"/>
          <w:b/>
          <w:bCs/>
          <w:sz w:val="32"/>
          <w:szCs w:val="32"/>
          <w:lang w:val="en-US" w:eastAsia="zh-CN"/>
        </w:rPr>
        <w:t>2.健全政务公开机制。</w:t>
      </w:r>
      <w:r>
        <w:rPr>
          <w:rFonts w:hint="default" w:ascii="Times New Roman" w:hAnsi="Times New Roman" w:eastAsia="仿宋_GB2312" w:cs="Times New Roman"/>
          <w:sz w:val="32"/>
          <w:szCs w:val="32"/>
        </w:rPr>
        <w:t>主动公开法治建设情况、执法结果、政策文件等信息，完善“好差评”数据分析运用机制，规范政务公开流程，拓宽公开渠道，聚焦社保、就业、人事等重点领域，及时准确发布信息，以监督促进服务提升</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3200" w:firstLineChars="10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乌苏市人力资源和社会保障局</w:t>
      </w: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2026年3月3日</w:t>
      </w: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MjVhMTY5YjU1NGVlYTdhOTE5NmM0NGMwMjYxYWIifQ=="/>
  </w:docVars>
  <w:rsids>
    <w:rsidRoot w:val="3CFB5AEE"/>
    <w:rsid w:val="01B031AA"/>
    <w:rsid w:val="0EC861C6"/>
    <w:rsid w:val="109D1483"/>
    <w:rsid w:val="271631CB"/>
    <w:rsid w:val="2BFA6079"/>
    <w:rsid w:val="34411C23"/>
    <w:rsid w:val="38D4079B"/>
    <w:rsid w:val="3BB45C33"/>
    <w:rsid w:val="3CFB5AEE"/>
    <w:rsid w:val="4196782F"/>
    <w:rsid w:val="43E004B2"/>
    <w:rsid w:val="43ED53C6"/>
    <w:rsid w:val="462757F8"/>
    <w:rsid w:val="46AA150F"/>
    <w:rsid w:val="4C1A5D67"/>
    <w:rsid w:val="4C4147A2"/>
    <w:rsid w:val="4E7A03D6"/>
    <w:rsid w:val="4F523EFC"/>
    <w:rsid w:val="4FD11B84"/>
    <w:rsid w:val="588879DE"/>
    <w:rsid w:val="5A554A6D"/>
    <w:rsid w:val="5B3F2825"/>
    <w:rsid w:val="5CDF608F"/>
    <w:rsid w:val="5E7E01F8"/>
    <w:rsid w:val="62EE0D72"/>
    <w:rsid w:val="72945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3240</Words>
  <Characters>3335</Characters>
  <Lines>0</Lines>
  <Paragraphs>0</Paragraphs>
  <TotalTime>59</TotalTime>
  <ScaleCrop>false</ScaleCrop>
  <LinksUpToDate>false</LinksUpToDate>
  <CharactersWithSpaces>3345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2026-03-02T05:26:00Z</dcterms:created>
  <dc:creator>解玉婷</dc:creator>
  <cp:lastModifiedBy>喜文</cp:lastModifiedBy>
  <cp:lastPrinted>2026-03-03T09:17:00Z</cp:lastPrinted>
  <dcterms:modified xsi:type="dcterms:W3CDTF">2026-03-11T07:45:28Z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18530DA98B234FDE896AAA84A0ADD96F_12</vt:lpwstr>
  </property>
</Properties>
</file>