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b w:val="0"/>
          <w:bCs/>
          <w:sz w:val="32"/>
          <w:szCs w:val="32"/>
          <w:lang w:val="en-US" w:eastAsia="zh-CN"/>
        </w:rPr>
      </w:pPr>
      <w:bookmarkStart w:id="3" w:name="_GoBack"/>
      <w:bookmarkStart w:id="0" w:name="OLE_LINK3"/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乌苏市妇联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党组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副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书记、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主席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车玉娟</w:t>
      </w:r>
      <w:bookmarkEnd w:id="0"/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根据工作要求，现</w:t>
      </w:r>
      <w:r>
        <w:rPr>
          <w:rFonts w:hint="eastAsia" w:ascii="仿宋_GB2312" w:hAnsi="仿宋_GB2312" w:eastAsia="仿宋_GB2312" w:cs="仿宋_GB2312"/>
          <w:sz w:val="32"/>
          <w:szCs w:val="32"/>
          <w:highlight w:val="cyan"/>
        </w:rPr>
        <w:t>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法如</w:t>
      </w:r>
      <w:r>
        <w:rPr>
          <w:rFonts w:hint="eastAsia" w:ascii="仿宋_GB2312" w:hAnsi="仿宋_GB2312" w:eastAsia="仿宋_GB2312" w:cs="仿宋_GB2312"/>
          <w:sz w:val="32"/>
          <w:szCs w:val="32"/>
        </w:rPr>
        <w:t>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OLE_LINK1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（一）筑牢法治思想根基，强化示范引领。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带头深入贯彻习近平法治思想，将《中华人民共和国宪法》《中华人民共和国妇女权益保障法》《中华人民共和国未成年人保护法》等纳入党组理论学习中心组学习1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次、干部理论学习45次，组织专题学法4次、法治研讨2次，带头讲授法治党课1次，结合妇联工作实际解读法律条文与维权案例，推动干部法治素养全员提升。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压实普法主体责任，将普法工作纳入年度36项重点任务，建立“一年工作早知道、一月工作早安排”机制，通过月例会专题梳理普法进展、协调解决基层普法阵地建设、资源调配等难题，形成“计划－执行－反馈－优化”闭环管理，同步将普法成效纳入干部履职考核，确保普法工作有序推进、落地见效。坚持以法治思维引领维权服务，以法治方式保障妇女儿童合法权益，不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提升妇联工作法治化水平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" w:name="OLE_LINK2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（二）搭建多元普法阵地，拓宽覆盖维度。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“石榴花”品牌，在妇女儿童维权工作室、爱心妈妈驿站及“建设者之家”妇联服务驿站等阵地开展普法宣传14场次，覆盖妇女儿童990余人次，发放《妇女权益保障条例》《中华人民共和国未成年人保护法》等宣传资料6800余份、宣传袋480个、宣传包120份，实现法治服务“零距离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聚焦关键节点，组织“三八”维权周、宪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宣传月等普法活动20余场，覆盖妇女群众2000余人，在乡镇、街道开展“敬畏法律·珍爱生命”主题宣讲，结合婚姻家庭纠纷案例以案释法，同步深入包联社区开展入户普法，强化基层妇女法治意识与维权能力。推动普法宣传从线下延伸到线上，形成线上线下联动、全域覆盖的普法宣传新格局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（三）创新普法工作实践，提升服务实效。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构建普法格局，通过联合司法、检察等部门开展儿童性教育、婚姻家庭纠纷调解等法治讲座，邀请女律师现场答疑，提供法律咨询9人次、心理疏导2人次。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深化普治融合，将“12338”维权服务中心入驻综治中心，建立纠纷转介机制。在34场家庭教育指导讲座、33次妇女技能培训中融入法治内容，覆盖群众2700余人次，针对困境家庭开展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专项法治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帮扶，为6名受助对象发放救助金1万元，推动普法成果转化为维权实效与民生福祉。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（一）普法工作精准度不足。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对基层妇女普法需求调研不够深入，普法内容多侧重法律条文解读，与农村妇女、企业女工、困境妇女等不同群体的实际需求结合不够紧密，针对性不强。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普法形式仍以集中宣讲、发放资料等传统方式为主，新媒体普法的互动性、创新性不足，对新兴领域女性群体的普法覆盖存在短板，吸引力和传播力有待提升。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（二）基层普法队伍建设薄弱。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基层妇联干部法治素养参差不齐，部分人员缺乏系统法律知识培训，运用法治思维化解矛盾、提供专业普法服务的能力不足，难以满足群众高质量法治需求。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普法志愿者队伍规模小、专业度不高，未形成稳定的人才储备机制，且培训频次不足，服务规范化水平有待提升。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（三）资源整合联动不够有力。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与司法、教科、民政等部门的联动普法机制不够健全，信息共享、协同发力不足，未形成常态化联合普法模式，存在普法资源分散现象。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普法与维权、帮扶等工作融合不够深入，对未成年人罪错行为干预、特殊家庭法治帮扶等领域的介入力度不足，普法成果转化效率不高。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（一）强化统筹谋划，提升普法精准性。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深入开展基层普法需求调研，分类梳理不同群体法治诉求，制定个性化普法清单，重点加强对农村妇女、新兴领域女性、困境妇女儿童的精准普法。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创新普法形式载体，丰富新媒体普法内容，制作情景短剧、法治动漫等群众喜闻乐见的作品，开展“法治进家庭”“巾帼法治讲堂”等互动式活动，增强普法吸引力。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（二）建强骨干队伍，夯实专业基础。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组织基层妇联干部、普法志愿者开展法治专题培训3场次以上，邀请法律专家授课，重点提升法治宣讲、纠纷调解、法律援助等专业能力，建强本土普法队伍。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扩大“石榴花”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巾帼志愿服务队伍，吸纳律师、法官、法律工作者等专业力量加入，建立人才库，完善激励机制，提升队伍稳定性和专业度。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建立常态化培训机制，通过线上学习、实地观摩、案例研讨等方式，持续提升普法队伍服务水平。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（三）深化协同联动，构建普法合力。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健全与司法、教科、民政等部门的联动机制，建立信息共享、案件转介、联合普法制度，每年至少开展1次联合普法活动，形成工作合力。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积极动员社会组织、爱心企业参与普法公益活动，整合资金、阵地资源，打造“政企社协同”的普法模式，拓宽普法资金渠道和服务场景。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深化普治融合，将普法融入婚姻家庭矛盾纠纷预防化解、困境妇女儿童关爱等工作，依托“石榴花”系列项目，提供“普法+维权+帮扶”一站式服务，切实维护妇女儿童合法权益，推动法治乌苏建设再上新台阶。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33736DF6"/>
    <w:rsid w:val="09134FB5"/>
    <w:rsid w:val="0F9962D9"/>
    <w:rsid w:val="145566B8"/>
    <w:rsid w:val="18FC2F8C"/>
    <w:rsid w:val="1C1C1AA5"/>
    <w:rsid w:val="1F343295"/>
    <w:rsid w:val="298748A4"/>
    <w:rsid w:val="29957212"/>
    <w:rsid w:val="29EA18F3"/>
    <w:rsid w:val="2BC94CE9"/>
    <w:rsid w:val="33736DF6"/>
    <w:rsid w:val="37D007CC"/>
    <w:rsid w:val="3DC443B9"/>
    <w:rsid w:val="3E78316D"/>
    <w:rsid w:val="4432034B"/>
    <w:rsid w:val="49CF6C61"/>
    <w:rsid w:val="4C562289"/>
    <w:rsid w:val="52F932C1"/>
    <w:rsid w:val="599A7E22"/>
    <w:rsid w:val="60386A2E"/>
    <w:rsid w:val="60563967"/>
    <w:rsid w:val="60CE7FEA"/>
    <w:rsid w:val="61B21359"/>
    <w:rsid w:val="65DA1652"/>
    <w:rsid w:val="68A84299"/>
    <w:rsid w:val="7289099F"/>
    <w:rsid w:val="77C046F3"/>
    <w:rsid w:val="7B2A3D7F"/>
    <w:rsid w:val="7D71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spacing w:before="100" w:beforeAutospacing="1"/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1939</Words>
  <Characters>1968</Characters>
  <Lines>0</Lines>
  <Paragraphs>0</Paragraphs>
  <TotalTime>41</TotalTime>
  <ScaleCrop>false</ScaleCrop>
  <LinksUpToDate>false</LinksUpToDate>
  <CharactersWithSpaces>1970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2026-02-06T05:42:00Z</dcterms:created>
  <dc:creator>dydar</dc:creator>
  <cp:lastModifiedBy>喜文</cp:lastModifiedBy>
  <cp:lastPrinted>2026-02-10T02:28:00Z</cp:lastPrinted>
  <dcterms:modified xsi:type="dcterms:W3CDTF">2026-03-12T02:56:48Z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eyJoZGlkIjoiNDM1Y2U2ZjMwYWM1ZWQwMTJlYzM5NDcxMjAxZDllZWYifQ==</vt:lpwstr>
  </property>
  <property fmtid="{D5CDD505-2E9C-101B-9397-08002B2CF9AE}" pid="4" name="ICV">
    <vt:lpwstr>CEB8007AFC0E490B81B07078B99492CB_12</vt:lpwstr>
  </property>
</Properties>
</file>