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spacing w:val="8"/>
          <w:kern w:val="0"/>
          <w:sz w:val="44"/>
          <w:szCs w:val="44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度述法报告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yellow"/>
          <w:lang w:val="en-US" w:eastAsia="zh-CN"/>
        </w:rPr>
      </w:pPr>
      <w:bookmarkStart w:id="3" w:name="_GoBack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乌苏市商务和工业信息化局党组书记、副局长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杨建华</w:t>
      </w:r>
    </w:p>
    <w:bookmarkEnd w:id="3"/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根据工作要求，现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述法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8"/>
          <w:sz w:val="32"/>
          <w:szCs w:val="32"/>
          <w:lang w:val="en-US" w:eastAsia="zh-CN"/>
        </w:rPr>
        <w:t>一、履职</w:t>
      </w:r>
      <w:r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8"/>
          <w:sz w:val="32"/>
          <w:szCs w:val="32"/>
        </w:rPr>
        <w:t>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spacing w:val="8"/>
          <w:sz w:val="32"/>
          <w:szCs w:val="32"/>
        </w:rPr>
        <w:t>（一）</w:t>
      </w: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spacing w:val="8"/>
          <w:sz w:val="32"/>
          <w:szCs w:val="32"/>
          <w:lang w:val="en-US" w:eastAsia="zh-CN"/>
        </w:rPr>
        <w:t>深化法治思维，筑牢思想根基。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坚持强化法治思维。以习近平新时代中国特色社会主义思想为指引，深入贯彻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党的二十大和二十届二中、三中、四中全会精神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深入贯彻习近平法治思想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。严格落实“第一议题”制度，通过党组理论学习中心组、“三会一课”、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主题党日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学习等方式，学习《中华人民共和国宪法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》《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中华人民共和国安全生产法》等法律法规，截至目前，组织开展法治专题学习35次。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切实履行法治建设“第一责任人”职责。每季度召开分析研判会议，专题研究部署法治建设工作，将法治建设与局业务工作同部署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、同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推进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，在</w:t>
      </w:r>
      <w:bookmarkStart w:id="0" w:name="OLE_LINK2"/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及时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研究解决我局法治建设问题的同时，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抓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实“一规划两纲要”任务，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已达成预期目标。</w:t>
      </w:r>
      <w:bookmarkEnd w:id="0"/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坚持民主集中制原则。</w:t>
      </w:r>
      <w:r>
        <w:rPr>
          <w:rFonts w:hint="default" w:ascii="Times New Roman" w:hAnsi="Times New Roman" w:cs="Times New Roman"/>
          <w:color w:val="000000"/>
          <w:szCs w:val="32"/>
        </w:rPr>
        <w:t>凡涉及重大决策、重要人事任免、重大项目安排、大额资金使用等事项，严格按照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“三重一大”制度</w:t>
      </w:r>
      <w:r>
        <w:rPr>
          <w:rFonts w:hint="default" w:ascii="Times New Roman" w:hAnsi="Times New Roman" w:cs="Times New Roman"/>
          <w:color w:val="000000"/>
          <w:szCs w:val="32"/>
        </w:rPr>
        <w:t>规定贯彻执行，</w:t>
      </w:r>
      <w:bookmarkStart w:id="1" w:name="OLE_LINK1"/>
      <w:bookmarkStart w:id="2" w:name="OLE_LINK4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截至目前，</w:t>
      </w:r>
      <w:bookmarkEnd w:id="1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党组召开“三重一大”会议27次。</w:t>
      </w:r>
      <w:bookmarkEnd w:id="2"/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-SA"/>
        </w:rPr>
        <w:t>抓实问题整改工作。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2024年述法及自治区、地区、乌苏市法治督查反馈和自查各项问题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均完成整改。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spacing w:val="8"/>
          <w:sz w:val="32"/>
          <w:szCs w:val="32"/>
        </w:rPr>
        <w:t>（二）规范依法履职，提升行政效能</w:t>
      </w: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“法治托底”精准服务，助企纾困优化营商环境。围绕“解难题、稳增长、增实力、扩总量”工作思路，开展入企调研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同时，了解企业困难需求，宣传惠企政策，截至目前，解决企业诉求485件。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“法治护航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”培育主体，聚力夯实发展根基。按“达限抓入库、接近抓培育、新建抓跟踪”机制，联合多部门用五经普数据研判社零状况，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建立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优质商贸企业储备库。推动工贸、产销分离，新增限上单位1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，扶持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2家限下样本单位持续增长。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</w:pP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spacing w:val="8"/>
          <w:kern w:val="2"/>
          <w:sz w:val="32"/>
          <w:szCs w:val="32"/>
          <w:lang w:val="en-US" w:eastAsia="zh-CN" w:bidi="ar-SA"/>
        </w:rPr>
        <w:t>（三）</w:t>
      </w: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spacing w:val="8"/>
          <w:sz w:val="32"/>
          <w:szCs w:val="32"/>
        </w:rPr>
        <w:t>聚力行业稳定，彰显治理水平</w:t>
      </w: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spacing w:val="8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以隐患排查为重点，守护行业安全稳定。联合市监局、应急管理局开展3次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“双随机、一公开”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执法检查，现场整改一般隐患4条，实现闭环管理。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结合重要时段、关键节点及季度常态化检查，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对成品油、大型商业综合体、餐饮住宿等关键领域开展7轮安全隐患排查，发现安全隐患122处，并督促企业整改完毕，实现全年安全生产无事故目标。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highlight w:val="none"/>
          <w:lang w:eastAsia="zh-CN"/>
        </w:rPr>
        <w:t>以普法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highlight w:val="none"/>
          <w:lang w:val="en-US" w:eastAsia="zh-CN"/>
        </w:rPr>
        <w:t>宣传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highlight w:val="none"/>
          <w:lang w:eastAsia="zh-CN"/>
        </w:rPr>
        <w:t>为纽带，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夯实行业守法根基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聚焦宪法宣传周、国家安全教育日等重要时间节点，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深入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商贸综合体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行业内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人流密集区域</w:t>
      </w:r>
      <w:r>
        <w:rPr>
          <w:rFonts w:hint="default" w:ascii="Times New Roman" w:hAnsi="Times New Roman" w:cs="Times New Roman"/>
          <w:b w:val="0"/>
          <w:bCs w:val="0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发放宪法、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中华人民共和国国家安全法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等宣传单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700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余份，形成行业内企业严守法律的良好环境。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以信访化解为抓手，保障行业和谐稳定。截至目前，受理“塔城地区12345政务服务便民热线”投诉37条，满意率达100%；处理行业内欠薪事件50条，涉及金额56万余元，切实维护劳动者权益。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8"/>
          <w:sz w:val="32"/>
          <w:szCs w:val="32"/>
          <w:lang w:val="en-US" w:eastAsia="zh-CN"/>
        </w:rPr>
        <w:t>二、</w:t>
      </w:r>
      <w:r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8"/>
          <w:sz w:val="32"/>
          <w:szCs w:val="32"/>
        </w:rPr>
        <w:t>存在</w:t>
      </w:r>
      <w:r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8"/>
          <w:sz w:val="32"/>
          <w:szCs w:val="32"/>
          <w:lang w:val="en-US" w:eastAsia="zh-CN"/>
        </w:rPr>
        <w:t>的问题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</w:pP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spacing w:val="8"/>
          <w:kern w:val="2"/>
          <w:sz w:val="32"/>
          <w:szCs w:val="32"/>
          <w:lang w:val="en-US" w:eastAsia="zh-CN" w:bidi="ar-SA"/>
        </w:rPr>
        <w:t>（一）法治思想培育深度不足。</w:t>
      </w:r>
      <w:r>
        <w:rPr>
          <w:rStyle w:val="14"/>
          <w:rFonts w:hint="default" w:ascii="Times New Roman" w:hAnsi="Times New Roman" w:eastAsia="仿宋_GB2312" w:cs="Times New Roman"/>
          <w:b/>
          <w:bCs w:val="0"/>
          <w:i w:val="0"/>
          <w:caps w:val="0"/>
          <w:spacing w:val="8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在习近平法治思想学习贯彻上，存在“浅尝辄止、学用脱节”的问题。对习近平法治思想的核心要义、精神实质和实践要求学习不够系统深入，多停留在会议传达、文件学习的表层阶段，导致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党员干部对法治建设的重要性、紧迫性认识不够深刻。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8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在法律法规学习上，针对性和实效性不强，学习内容多以通用法律知识为主，与业务紧密相关的专业法律法规学习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较少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，部分干部存在“重业务、轻法治”的倾向。对重大行政决策合法性审查的重视程度不足，在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起草签订招商引资协议、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项目审批等工作中，有时存在先推进、后补审的情况，法治意识融入业务工作的主动性不够。同时，在增强法治意识和提升依法办事能力上用力不均衡，部分干部法治素养提升较快，但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部分干部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依法履职、依法办事的能力仍需加强，整体法治思维养成尚未完全到位。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</w:pP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spacing w:val="8"/>
          <w:kern w:val="2"/>
          <w:sz w:val="32"/>
          <w:szCs w:val="32"/>
          <w:lang w:val="en-US" w:eastAsia="zh-CN" w:bidi="ar-SA"/>
        </w:rPr>
        <w:t>（二）法治建设落实成效不佳。</w:t>
      </w:r>
      <w:r>
        <w:rPr>
          <w:rStyle w:val="14"/>
          <w:rFonts w:hint="default" w:ascii="Times New Roman" w:hAnsi="Times New Roman" w:eastAsia="仿宋_GB2312" w:cs="Times New Roman"/>
          <w:b/>
          <w:bCs w:val="0"/>
          <w:i w:val="0"/>
          <w:caps w:val="0"/>
          <w:spacing w:val="8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法治建设各项部署的落地见效存在“温差、落差”。作为“关键少数”，法治意识和法治能力与新时代法治建设要求仍有差距，在日常工作中运用法治思维和法治方式深化改革、推动发展、化解矛盾的能力不足，有时存在凭经验决策、按惯例办事的情况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8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法治建设责任传导不够有力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虽然明确了各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股（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室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的法治建设职责，但在具体推进过程中，存在“重部署、轻落实”“重形式、轻实效”的现象，对法治建设工作的跟踪问效、督查考核不够严格，导致部分工作部署流于形式，未能真正落地生根。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8"/>
          <w:sz w:val="32"/>
          <w:szCs w:val="32"/>
          <w:lang w:val="en-US" w:eastAsia="zh-CN"/>
        </w:rPr>
      </w:pPr>
      <w:r>
        <w:rPr>
          <w:rStyle w:val="14"/>
          <w:rFonts w:hint="default" w:ascii="Times New Roman" w:hAnsi="Times New Roman" w:eastAsia="黑体" w:cs="Times New Roman"/>
          <w:b w:val="0"/>
          <w:bCs/>
          <w:i w:val="0"/>
          <w:caps w:val="0"/>
          <w:spacing w:val="8"/>
          <w:sz w:val="32"/>
          <w:szCs w:val="32"/>
          <w:lang w:val="en-US" w:eastAsia="zh-CN"/>
        </w:rPr>
        <w:t>三、下一步工作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spacing w:val="8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spacing w:val="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spacing w:val="8"/>
          <w:sz w:val="32"/>
          <w:szCs w:val="32"/>
        </w:rPr>
        <w:t>锚定“关键少数”，持续强化法治思维引领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坚持把强化法治思维作为法治政府建设的首要任务，带头深学细悟党的二十大关于全面依法治国的总体要求，将习近平法治思想纳入党组理论学习中心组学习重点，通过专题研讨等形式，推动班子成员先学一步、学深一层，切实把法治思维融入决策、执行、监督全过程。健全“一把手负总责、分管领导具体抓、各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eastAsia="zh-CN"/>
        </w:rPr>
        <w:t>股（室）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协同推进”的法治建设责任体系，层层压实法治建设主体责任。带头破除“重业务、轻法治”的惯性思维，在项目审批、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招商引资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等重点工作中，坚持做到决策前合法性审查、决策中依法论证、决策后跟踪问效，以“关键少数”的示范引领，带动全局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党员干部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形成办事依法、遇事找法、解决问题用法、化解矛盾靠法的行动自觉。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i w:val="0"/>
          <w:caps w:val="0"/>
          <w:spacing w:val="8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i w:val="0"/>
          <w:caps w:val="0"/>
          <w:spacing w:val="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i w:val="0"/>
          <w:caps w:val="0"/>
          <w:spacing w:val="8"/>
          <w:sz w:val="32"/>
          <w:szCs w:val="32"/>
        </w:rPr>
        <w:t>聚焦“提质增效”，持续筑牢法治保障根基</w:t>
      </w:r>
      <w:r>
        <w:rPr>
          <w:rFonts w:hint="default" w:ascii="Times New Roman" w:hAnsi="Times New Roman" w:eastAsia="楷体_GB2312" w:cs="Times New Roman"/>
          <w:i w:val="0"/>
          <w:caps w:val="0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严格落实各级</w:t>
      </w:r>
      <w:r>
        <w:rPr>
          <w:rFonts w:hint="eastAsia" w:ascii="Times New Roman" w:hAnsi="Times New Roman" w:eastAsia="仿宋_GB2312" w:cs="Times New Roman"/>
          <w:i w:val="0"/>
          <w:caps w:val="0"/>
          <w:spacing w:val="8"/>
          <w:sz w:val="32"/>
          <w:szCs w:val="32"/>
          <w:lang w:eastAsia="zh-CN"/>
        </w:rPr>
        <w:t>党委、政府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关于法治建设的部署要求，将普法学法用法贯穿工作始终，常态化组织干部学习《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报废机动车回收管理办法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》《优化营商环境条例》等与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领域密切相关的法律法规。扎实抓好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全局党员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干部学法考试工作，以考促学、以学促用，确保干部熟练掌握履职所需的法律知识。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i w:val="0"/>
          <w:caps w:val="0"/>
          <w:spacing w:val="8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i w:val="0"/>
          <w:caps w:val="0"/>
          <w:spacing w:val="8"/>
          <w:sz w:val="32"/>
          <w:szCs w:val="32"/>
          <w:lang w:eastAsia="zh-CN"/>
        </w:rPr>
        <w:t>）创新“宣传载体”，持续拓宽普法覆盖维度。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针对不同群体需求，开展精准化普法宣传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企业职工重点宣传劳动用工、安全生产、知识产权等方面的法律知识；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群众重点宣传消费者权益保护、电子商务等法律法规。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行业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进行安全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隐患排查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，同步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开展“法治进企业”活动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，通过现场咨询、案例解读、政策答疑等形式，宣传解读惠企政策及法律法规，引导企业依法经营、合规发展。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助力提升全社会法治意识与素养，为现代化法治乌苏营造尊法学法守法用法氛围。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29E1556A"/>
    <w:rsid w:val="028E21D3"/>
    <w:rsid w:val="02AF5FCF"/>
    <w:rsid w:val="03A30956"/>
    <w:rsid w:val="04A44D62"/>
    <w:rsid w:val="05695765"/>
    <w:rsid w:val="058D1688"/>
    <w:rsid w:val="08BC3237"/>
    <w:rsid w:val="0AC35067"/>
    <w:rsid w:val="0B276236"/>
    <w:rsid w:val="0CD448B0"/>
    <w:rsid w:val="0EC87A64"/>
    <w:rsid w:val="126678DD"/>
    <w:rsid w:val="14D422F6"/>
    <w:rsid w:val="15BF021F"/>
    <w:rsid w:val="16AA6A4E"/>
    <w:rsid w:val="17B66514"/>
    <w:rsid w:val="187A412E"/>
    <w:rsid w:val="18CC6588"/>
    <w:rsid w:val="1AC63B31"/>
    <w:rsid w:val="1D1F5EA5"/>
    <w:rsid w:val="1E4E4CB2"/>
    <w:rsid w:val="1E96201E"/>
    <w:rsid w:val="252D1658"/>
    <w:rsid w:val="25455D84"/>
    <w:rsid w:val="25A552F1"/>
    <w:rsid w:val="28D33E75"/>
    <w:rsid w:val="29E1556A"/>
    <w:rsid w:val="2A3A7042"/>
    <w:rsid w:val="2B8073D5"/>
    <w:rsid w:val="2BBB3466"/>
    <w:rsid w:val="2D481F04"/>
    <w:rsid w:val="30872D2A"/>
    <w:rsid w:val="30911377"/>
    <w:rsid w:val="36D26303"/>
    <w:rsid w:val="3A77052B"/>
    <w:rsid w:val="3B8E2325"/>
    <w:rsid w:val="3C1276E4"/>
    <w:rsid w:val="3DB8020B"/>
    <w:rsid w:val="40826394"/>
    <w:rsid w:val="43867795"/>
    <w:rsid w:val="43E7489C"/>
    <w:rsid w:val="465D25E8"/>
    <w:rsid w:val="484008FB"/>
    <w:rsid w:val="48C16A1F"/>
    <w:rsid w:val="48D86201"/>
    <w:rsid w:val="492F2EEA"/>
    <w:rsid w:val="4D961CEB"/>
    <w:rsid w:val="4EEA1AA8"/>
    <w:rsid w:val="4F5F0B43"/>
    <w:rsid w:val="4FBB57A3"/>
    <w:rsid w:val="53A067DB"/>
    <w:rsid w:val="54223057"/>
    <w:rsid w:val="58464D1E"/>
    <w:rsid w:val="58DB29A8"/>
    <w:rsid w:val="5A7F7FA3"/>
    <w:rsid w:val="5B56168A"/>
    <w:rsid w:val="5D247060"/>
    <w:rsid w:val="5DBB7B32"/>
    <w:rsid w:val="63232C61"/>
    <w:rsid w:val="63D36D10"/>
    <w:rsid w:val="64550FFF"/>
    <w:rsid w:val="645E5015"/>
    <w:rsid w:val="65C71A41"/>
    <w:rsid w:val="667F629A"/>
    <w:rsid w:val="6A340784"/>
    <w:rsid w:val="6B6E3B28"/>
    <w:rsid w:val="6BDA309E"/>
    <w:rsid w:val="6D3D0693"/>
    <w:rsid w:val="6E6D4956"/>
    <w:rsid w:val="6ED43DA6"/>
    <w:rsid w:val="72736E5E"/>
    <w:rsid w:val="745A441B"/>
    <w:rsid w:val="7596037E"/>
    <w:rsid w:val="76920680"/>
    <w:rsid w:val="7A4E6C1C"/>
    <w:rsid w:val="7A8672CC"/>
    <w:rsid w:val="7DE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560" w:lineRule="exact"/>
      <w:outlineLvl w:val="2"/>
    </w:pPr>
    <w:rPr>
      <w:rFonts w:ascii="Calibri" w:hAnsi="Calibri"/>
      <w:bCs/>
      <w:szCs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styleId="5">
    <w:name w:val="Normal Indent"/>
    <w:basedOn w:val="1"/>
    <w:qFormat/>
    <w:uiPriority w:val="0"/>
    <w:pPr>
      <w:spacing w:line="560" w:lineRule="exact"/>
      <w:ind w:firstLine="420"/>
    </w:pPr>
    <w:rPr>
      <w:rFonts w:ascii="仿宋_GB2312" w:hAnsi="Calibri" w:eastAsia="仿宋_GB2312"/>
      <w:sz w:val="32"/>
    </w:rPr>
  </w:style>
  <w:style w:type="paragraph" w:styleId="6">
    <w:name w:val="Body Text"/>
    <w:basedOn w:val="1"/>
    <w:next w:val="7"/>
    <w:autoRedefine/>
    <w:qFormat/>
    <w:uiPriority w:val="0"/>
    <w:pPr>
      <w:jc w:val="center"/>
    </w:pPr>
    <w:rPr>
      <w:rFonts w:eastAsia="方正小标宋简体"/>
      <w:b/>
      <w:bCs/>
      <w:sz w:val="48"/>
    </w:rPr>
  </w:style>
  <w:style w:type="paragraph" w:styleId="7">
    <w:name w:val="Body Text Indent"/>
    <w:basedOn w:val="1"/>
    <w:next w:val="6"/>
    <w:autoRedefine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next w:val="1"/>
    <w:autoRedefine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" w:cstheme="minorBidi"/>
      <w:kern w:val="0"/>
      <w:sz w:val="24"/>
      <w:szCs w:val="24"/>
      <w:lang w:val="en-US" w:eastAsia="zh-CN" w:bidi="ar-SA"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Emphasis"/>
    <w:basedOn w:val="13"/>
    <w:autoRedefine/>
    <w:qFormat/>
    <w:uiPriority w:val="0"/>
    <w:rPr>
      <w:i/>
    </w:rPr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2303</Words>
  <Characters>2329</Characters>
  <Lines>0</Lines>
  <Paragraphs>0</Paragraphs>
  <TotalTime>52</TotalTime>
  <ScaleCrop>false</ScaleCrop>
  <LinksUpToDate>false</LinksUpToDate>
  <CharactersWithSpaces>2331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2025-11-28T05:43:00Z</dcterms:created>
  <dc:creator>Administrator</dc:creator>
  <cp:lastModifiedBy>喜文</cp:lastModifiedBy>
  <cp:lastPrinted>2025-12-03T13:58:00Z</cp:lastPrinted>
  <dcterms:modified xsi:type="dcterms:W3CDTF">2026-03-12T05:32:54Z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eyJoZGlkIjoiN2NjZGE5YjBjYTBlZGM4ZDA5MmVhN2U1YTMwMGRiYzMiLCJ1c2VySWQiOiI0NzU5OTcwMTUifQ==</vt:lpwstr>
  </property>
  <property fmtid="{D5CDD505-2E9C-101B-9397-08002B2CF9AE}" pid="4" name="ICV">
    <vt:lpwstr>016FC7DDF0884F48A29F00500F24E569_13</vt:lpwstr>
  </property>
</Properties>
</file>