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乌苏市住建局党组副书记、局长张文辉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根据工作要求，现</w:t>
      </w:r>
      <w:r>
        <w:rPr>
          <w:rFonts w:hint="eastAsia" w:ascii="Times New Roman" w:hAnsi="Times New Roman" w:eastAsia="仿宋_GB2312"/>
          <w:sz w:val="32"/>
          <w:highlight w:val="none"/>
        </w:rPr>
        <w:t>述法</w:t>
      </w:r>
      <w:r>
        <w:rPr>
          <w:rFonts w:hint="eastAsia" w:ascii="Times New Roman" w:hAnsi="Times New Roman" w:eastAsia="仿宋_GB2312"/>
          <w:sz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0" w:name="heading_1"/>
      <w:r>
        <w:rPr>
          <w:rFonts w:hint="eastAsia" w:ascii="楷体_GB2312" w:hAnsi="楷体_GB2312" w:eastAsia="楷体_GB2312" w:cs="楷体_GB2312"/>
          <w:b w:val="0"/>
          <w:bCs/>
          <w:sz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深入贯彻习近平法治思想</w:t>
      </w:r>
      <w:r>
        <w:rPr>
          <w:rFonts w:hint="eastAsia" w:ascii="楷体_GB2312" w:hAnsi="楷体_GB2312" w:eastAsia="楷体_GB2312" w:cs="楷体_GB2312"/>
          <w:b w:val="0"/>
          <w:bCs/>
          <w:sz w:val="32"/>
        </w:rPr>
        <w:t>，以党建引领筑牢法治根基</w:t>
      </w:r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始终坚持“党建引领强法治、履职尽责护民生”工作理念，将党建与法治建设深度融合，把学习贯彻习近平法治思想作为首要政治任务。一是建强学习机制，建立“每周二常态化学习”制度，将法治学习纳入党组理论学习中心组核心内容，全年13次中心组学习均专题融入法治要求，每周固定开展法治学习或“法治+业务”融合培训。二是创新学习载体，邀请住建领域专家解读《</w:t>
      </w:r>
      <w:r>
        <w:rPr>
          <w:rFonts w:hint="eastAsia" w:ascii="Times New Roman" w:hAnsi="Times New Roman" w:eastAsia="仿宋_GB2312" w:cs="Arial"/>
          <w:sz w:val="32"/>
          <w:lang w:eastAsia="zh-CN"/>
        </w:rPr>
        <w:t>中华人民共和国建筑法</w:t>
      </w:r>
      <w:bookmarkStart w:id="15" w:name="_GoBack"/>
      <w:bookmarkEnd w:id="15"/>
      <w:r>
        <w:rPr>
          <w:rFonts w:ascii="Times New Roman" w:hAnsi="Times New Roman" w:eastAsia="仿宋_GB2312" w:cs="Arial"/>
          <w:sz w:val="32"/>
        </w:rPr>
        <w:t>》等专业法规，特邀资深律师围绕工程合同纠纷、行政诉讼应对等实操主题开展专题授课，覆盖干部职工40余人次；本人以“党建引领强法治、履职尽责护民生”为题讲授法治党课，推动形成“学法规、用法规、守法规”常态化氛围。三是狠抓贯彻落实，严格执行</w:t>
      </w:r>
      <w:r>
        <w:rPr>
          <w:rFonts w:hint="eastAsia" w:ascii="Times New Roman" w:hAnsi="Times New Roman" w:eastAsia="仿宋_GB2312" w:cs="Arial"/>
          <w:sz w:val="32"/>
          <w:lang w:eastAsia="zh-CN"/>
        </w:rPr>
        <w:t>市委、市政府</w:t>
      </w:r>
      <w:r>
        <w:rPr>
          <w:rFonts w:ascii="Times New Roman" w:hAnsi="Times New Roman" w:eastAsia="仿宋_GB2312" w:cs="Arial"/>
          <w:sz w:val="32"/>
        </w:rPr>
        <w:t>法治建设决策部署，将法治建设与保障性租赁住房建设、工程质量安全监管等重点民生业务同谋划、同部署、同考核，确保法治建设方向正确。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" w:name="heading_2"/>
      <w:r>
        <w:rPr>
          <w:rFonts w:hint="eastAsia" w:ascii="楷体_GB2312" w:hAnsi="楷体_GB2312" w:eastAsia="楷体_GB2312" w:cs="楷体_GB2312"/>
          <w:b w:val="0"/>
          <w:bCs/>
          <w:sz w:val="32"/>
        </w:rPr>
        <w:t>（二）扛牢法治建设第一责任，规范权力运行机制</w:t>
      </w:r>
      <w:bookmarkEnd w:id="1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坚决扛起法治建设第一责任人职责，以制度建设规范权力运行。一是严把决策法治关，严格执行《重大行政决策程序暂行条例》，完成《乌苏市中心城区环境卫生专项规划（2025-2035）》等3项重大规划的合法性审查，从源头防范风险。二是规范行政执法行为，落实行政执法“三项制度”，配备执法记录仪，推行“首违不罚”“轻微免罚”柔性执法，全年查处案件5件、处罚161.70万元，执法全程公开透明。三是深化政务服务法治化，通过告知承诺、并联审批、容缺受理等举措提升效率，全年办理事项9383件，一体化平台办理3189件，办结率和群众满意度均达100%；12个重点项目审批时限压缩超85%，4个项目通过“容缺受理”快速落地。四是优化服务模式，推进“互联网+政务服务”实现100%业务线上办理，构建“申报</w:t>
      </w:r>
      <w:r>
        <w:rPr>
          <w:rFonts w:hint="eastAsia" w:ascii="Times New Roman" w:hAnsi="Times New Roman" w:eastAsia="仿宋_GB2312" w:cs="Arial"/>
          <w:sz w:val="32"/>
          <w:lang w:eastAsia="zh-CN"/>
        </w:rPr>
        <w:t>－</w:t>
      </w:r>
      <w:r>
        <w:rPr>
          <w:rFonts w:ascii="Times New Roman" w:hAnsi="Times New Roman" w:eastAsia="仿宋_GB2312" w:cs="Arial"/>
          <w:sz w:val="32"/>
        </w:rPr>
        <w:t>查询</w:t>
      </w:r>
      <w:r>
        <w:rPr>
          <w:rFonts w:hint="eastAsia" w:ascii="Times New Roman" w:hAnsi="Times New Roman" w:eastAsia="仿宋_GB2312" w:cs="Arial"/>
          <w:sz w:val="32"/>
          <w:lang w:eastAsia="zh-CN"/>
        </w:rPr>
        <w:t>－</w:t>
      </w:r>
      <w:r>
        <w:rPr>
          <w:rFonts w:ascii="Times New Roman" w:hAnsi="Times New Roman" w:eastAsia="仿宋_GB2312" w:cs="Arial"/>
          <w:sz w:val="32"/>
        </w:rPr>
        <w:t>反馈”闭环服务；组织3次业务培训，落实“</w:t>
      </w:r>
      <w:r>
        <w:rPr>
          <w:rFonts w:ascii="Times New Roman" w:hAnsi="Times New Roman" w:eastAsia="仿宋_GB2312" w:cs="Arial"/>
          <w:sz w:val="32"/>
          <w:highlight w:val="none"/>
        </w:rPr>
        <w:t>三声服务</w:t>
      </w:r>
      <w:r>
        <w:rPr>
          <w:rFonts w:ascii="Times New Roman" w:hAnsi="Times New Roman" w:eastAsia="仿宋_GB2312" w:cs="Arial"/>
          <w:sz w:val="32"/>
        </w:rPr>
        <w:t>”和延时服务，办结紧急业务8件。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2" w:name="heading_3"/>
      <w:r>
        <w:rPr>
          <w:rFonts w:hint="eastAsia" w:ascii="楷体_GB2312" w:hAnsi="楷体_GB2312" w:eastAsia="楷体_GB2312" w:cs="楷体_GB2312"/>
          <w:b w:val="0"/>
          <w:bCs/>
          <w:sz w:val="32"/>
        </w:rPr>
        <w:t>（三）坚守法治底线，筑牢安全稳定屏障</w:t>
      </w:r>
      <w:bookmarkEnd w:id="2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以法治手段筑牢住建领域安全稳定防线。一是健全质量安全防控体系，开展质量安全检查120次，排查整改隐患500条；依法完成143栋老旧住宅抗震安全鉴定，94栋已整治，严格落实“人不进危房、危房不进人”要求，守护群众居住安全。二是推进反恐维稳法治化常态化，将安全稳定要求贯穿工程建设、监管全过程，构建法治化安全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3" w:name="heading_4"/>
      <w:r>
        <w:rPr>
          <w:rFonts w:hint="eastAsia" w:ascii="楷体_GB2312" w:hAnsi="楷体_GB2312" w:eastAsia="楷体_GB2312" w:cs="楷体_GB2312"/>
          <w:b w:val="0"/>
          <w:bCs/>
          <w:sz w:val="32"/>
        </w:rPr>
        <w:t>（四）以法治赋能，优化发展环境</w:t>
      </w:r>
      <w:bookmarkEnd w:id="3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围绕乌苏市</w:t>
      </w:r>
      <w:r>
        <w:rPr>
          <w:rFonts w:hint="eastAsia" w:ascii="Times New Roman" w:hAnsi="Times New Roman" w:eastAsia="仿宋_GB2312" w:cs="Arial"/>
          <w:sz w:val="32"/>
          <w:lang w:eastAsia="zh-CN"/>
        </w:rPr>
        <w:t>“</w:t>
      </w:r>
      <w:r>
        <w:rPr>
          <w:rFonts w:ascii="Times New Roman" w:hAnsi="Times New Roman" w:eastAsia="仿宋_GB2312" w:cs="Arial"/>
          <w:sz w:val="32"/>
        </w:rPr>
        <w:t>3+1+1</w:t>
      </w:r>
      <w:r>
        <w:rPr>
          <w:rFonts w:hint="eastAsia" w:ascii="Times New Roman" w:hAnsi="Times New Roman" w:eastAsia="仿宋_GB2312" w:cs="Arial"/>
          <w:sz w:val="32"/>
          <w:lang w:eastAsia="zh-CN"/>
        </w:rPr>
        <w:t>”</w:t>
      </w:r>
      <w:r>
        <w:rPr>
          <w:rFonts w:ascii="Times New Roman" w:hAnsi="Times New Roman" w:eastAsia="仿宋_GB2312" w:cs="Arial"/>
          <w:sz w:val="32"/>
        </w:rPr>
        <w:t>现代化产业体系，以法治保障高质量发展。一是优化营商环境，开展“扫码入企”服务，走访建筑、房地产企业15家；落实扬尘治理“六个百分百”，安装监测设备33套。二是规范市场秩序，监管31个房地产项目43个预售资金账户，支付资金1.93亿元；完成686套住房“保交房”任务，协调1131套住宅及654套商业首次登记，保障群众“住有所居”。三是助推城乡融合，将绿色建筑标准纳入审批强制要求，执行率100%；依法推进地下综合管网改造11862米、道路更新等重点项目，提升城市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4" w:name="heading_5"/>
      <w:r>
        <w:rPr>
          <w:rFonts w:hint="eastAsia" w:ascii="楷体_GB2312" w:hAnsi="楷体_GB2312" w:eastAsia="楷体_GB2312" w:cs="楷体_GB2312"/>
          <w:b w:val="0"/>
          <w:bCs/>
          <w:sz w:val="32"/>
        </w:rPr>
        <w:t>（五）坚持问题导向，狠抓整改落实</w:t>
      </w:r>
      <w:bookmarkEnd w:id="4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聚焦法治建设薄弱环节精准发力，完成法治建设“一规划两纲要”14个问题整改；落实上年度述法及各级法治督察反馈问题整改，以法治化手段根治问题，提升依法治理水平。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</w:rPr>
      </w:pPr>
      <w:bookmarkStart w:id="5" w:name="heading_6"/>
      <w:r>
        <w:rPr>
          <w:rFonts w:hint="eastAsia" w:ascii="黑体" w:hAnsi="黑体" w:eastAsia="黑体" w:cs="黑体"/>
          <w:b w:val="0"/>
          <w:bCs/>
          <w:sz w:val="32"/>
        </w:rPr>
        <w:t>二、存在的问题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6" w:name="heading_7"/>
      <w:r>
        <w:rPr>
          <w:rFonts w:hint="eastAsia" w:ascii="楷体_GB2312" w:hAnsi="楷体_GB2312" w:eastAsia="楷体_GB2312" w:cs="楷体_GB2312"/>
          <w:b w:val="0"/>
          <w:bCs/>
          <w:sz w:val="32"/>
        </w:rPr>
        <w:t>（一）法治监管体系不够健全</w:t>
      </w:r>
      <w:bookmarkEnd w:id="6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监管重心偏重于建筑工程质量、安全生产等传统领域，对新型建筑材料应用、智慧工地建设等新兴领域监管制度滞后，存在监管空白。监管手段传统化，信息化、智能化应用不足，偏远区域和小型项目监管效能偏低，重点项目推进的法治约束机制不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7" w:name="heading_8"/>
      <w:r>
        <w:rPr>
          <w:rFonts w:hint="eastAsia" w:ascii="楷体_GB2312" w:hAnsi="楷体_GB2312" w:eastAsia="楷体_GB2312" w:cs="楷体_GB2312"/>
          <w:b w:val="0"/>
          <w:bCs/>
          <w:sz w:val="32"/>
        </w:rPr>
        <w:t>（二）依法行政能力有待提升</w:t>
      </w:r>
      <w:bookmarkEnd w:id="7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部分干部对复杂法规政策理解适用不精准，审批执法、项目管理中存在程序不规范、文书制作不严谨等问题。常态化学习和专题授课成果转化不充分，培训内容与岗位实际结合不紧密，法治教育与日常监督联动不足，干部依法行政内生动力欠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8" w:name="heading_9"/>
      <w:r>
        <w:rPr>
          <w:rFonts w:hint="eastAsia" w:ascii="楷体_GB2312" w:hAnsi="楷体_GB2312" w:eastAsia="楷体_GB2312" w:cs="楷体_GB2312"/>
          <w:b w:val="0"/>
          <w:bCs/>
          <w:sz w:val="32"/>
        </w:rPr>
        <w:t>（三）法治服务供给不够精准</w:t>
      </w:r>
      <w:bookmarkEnd w:id="8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对企业法治服务停留在政策宣讲、基础咨询层面，对融资合规、跨部门衔接等深层次需求回应不足。依法处理信访问题能力有待提升，部分诉求因法治化解路径不清导致效率不高，跨部门法治服务协同机制不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</w:rPr>
      </w:pPr>
      <w:bookmarkStart w:id="9" w:name="heading_10"/>
      <w:r>
        <w:rPr>
          <w:rFonts w:hint="eastAsia" w:ascii="黑体" w:hAnsi="黑体" w:eastAsia="黑体" w:cs="黑体"/>
          <w:b w:val="0"/>
          <w:bCs/>
          <w:sz w:val="32"/>
        </w:rPr>
        <w:t>三、下一步工作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0" w:name="heading_11"/>
      <w:r>
        <w:rPr>
          <w:rFonts w:hint="eastAsia" w:ascii="楷体_GB2312" w:hAnsi="楷体_GB2312" w:eastAsia="楷体_GB2312" w:cs="楷体_GB2312"/>
          <w:b w:val="0"/>
          <w:bCs/>
          <w:sz w:val="32"/>
        </w:rPr>
        <w:t>（一）深化党建法治融合，筑牢思想根基</w:t>
      </w:r>
      <w:bookmarkEnd w:id="10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优化“每周二常态化学习”机制，推动党建与法治培训深度融合；邀请律师聚焦工程审批、信访化解等核心业务开展专题授课，提升学习针对性。本人持续带头讲授法治党课，推动党建优势转化为法治建设效能。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1" w:name="heading_12"/>
      <w:r>
        <w:rPr>
          <w:rFonts w:hint="eastAsia" w:ascii="楷体_GB2312" w:hAnsi="楷体_GB2312" w:eastAsia="楷体_GB2312" w:cs="楷体_GB2312"/>
          <w:b w:val="0"/>
          <w:bCs/>
          <w:sz w:val="32"/>
        </w:rPr>
        <w:t>（二）健全法治监管体系，提升治理效能</w:t>
      </w:r>
      <w:bookmarkEnd w:id="11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完善新兴领域监管制度，明确标准填补空白；推进“智慧住建”建设，加大信息化投入，构建线上线下融合监管模式。建立分类分级监管机制，强化质量安全等重点领域刚性监管，健全项目推进法治保障机制，实现监管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2" w:name="heading_13"/>
      <w:r>
        <w:rPr>
          <w:rFonts w:hint="eastAsia" w:ascii="楷体_GB2312" w:hAnsi="楷体_GB2312" w:eastAsia="楷体_GB2312" w:cs="楷体_GB2312"/>
          <w:b w:val="0"/>
          <w:bCs/>
          <w:sz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强化法治政府建设</w:t>
      </w:r>
      <w:r>
        <w:rPr>
          <w:rFonts w:hint="eastAsia" w:ascii="楷体_GB2312" w:hAnsi="楷体_GB2312" w:eastAsia="楷体_GB2312" w:cs="楷体_GB2312"/>
          <w:b w:val="0"/>
          <w:bCs/>
          <w:sz w:val="32"/>
        </w:rPr>
        <w:t>，夯实履职根基</w:t>
      </w:r>
      <w:bookmarkEnd w:id="12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优化培训模式，加强学习成果转化，围绕审批执法等核心岗位开展案例教学；建立“老带新、强带弱”法治帮扶机制。完善法律顾问参与机制，推动其深度介入审批、执法等环节提供实时指导。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3" w:name="heading_14"/>
      <w:r>
        <w:rPr>
          <w:rFonts w:hint="eastAsia" w:ascii="楷体_GB2312" w:hAnsi="楷体_GB2312" w:eastAsia="楷体_GB2312" w:cs="楷体_GB2312"/>
          <w:b w:val="0"/>
          <w:bCs/>
          <w:sz w:val="32"/>
        </w:rPr>
        <w:t>（四）优化法治服务供给，回应群众诉求</w:t>
      </w:r>
      <w:bookmarkEnd w:id="13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完善群众诉求法治化化解机制，规范信访办理流程；建立跨部门法治服务协同机制，创新普法模式，提升企业和群众法治意识，让法治成果惠及更多民生领域。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ascii="Times New Roman" w:hAnsi="Times New Roman" w:eastAsia="仿宋_GB2312"/>
          <w:sz w:val="32"/>
        </w:rPr>
      </w:pPr>
      <w:bookmarkStart w:id="14" w:name="heading_15"/>
      <w:r>
        <w:rPr>
          <w:rFonts w:hint="eastAsia" w:ascii="楷体_GB2312" w:hAnsi="楷体_GB2312" w:eastAsia="楷体_GB2312" w:cs="楷体_GB2312"/>
          <w:b w:val="0"/>
          <w:bCs/>
          <w:sz w:val="32"/>
        </w:rPr>
        <w:t>（五）压实法治建设责任，健全长效机制</w:t>
      </w:r>
      <w:bookmarkEnd w:id="14"/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。</w:t>
      </w:r>
      <w:r>
        <w:rPr>
          <w:rFonts w:ascii="Times New Roman" w:hAnsi="Times New Roman" w:eastAsia="仿宋_GB2312" w:cs="Arial"/>
          <w:sz w:val="32"/>
        </w:rPr>
        <w:t>健全“主要负责人第一责任、分管负责人直接责任、科室具体责任”体系，推动法治建设与业务工作深度融合，持续提升住建领域依法治理水平，为乌苏市城乡建设高质量发展和民生保障提供坚实法治支撑。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以上报告，请予评议。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24"/>
          <w:lang w:val="en-US" w:eastAsia="zh-CN" w:bidi="ar-SA"/>
        </w:rPr>
        <w:t>联系人：张颖                联系电话：18309018856</w:t>
      </w: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E8025AD"/>
    <w:rsid w:val="0E8025AD"/>
    <w:rsid w:val="379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2235</Words>
  <Characters>2313</Characters>
  <Lines>0</Lines>
  <Paragraphs>0</Paragraphs>
  <TotalTime>1</TotalTime>
  <ScaleCrop>false</ScaleCrop>
  <LinksUpToDate>false</LinksUpToDate>
  <CharactersWithSpaces>2329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2025-12-09T03:41:00Z</dcterms:created>
  <dc:creator>WPS_1632839267</dc:creator>
  <cp:lastModifiedBy>喜文</cp:lastModifiedBy>
  <dcterms:modified xsi:type="dcterms:W3CDTF">2026-03-12T08:48:23Z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C2A4CDA8D184467FBCD323CD93B468D5_13</vt:lpwstr>
  </property>
  <property fmtid="{D5CDD505-2E9C-101B-9397-08002B2CF9AE}" pid="4" name="KSOTemplateDocerSaveRecord">
    <vt:lpwstr>eyJoZGlkIjoiMzUzYjA2ZmIzZDM5MjE1ZWQ1YjIwOTI2OTIzYTY3NmYiLCJ1c2VySWQiOiIxMjc5NDA3NTk2In0=</vt:lpwstr>
  </property>
</Properties>
</file>