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乌苏市</w:t>
      </w:r>
      <w:r>
        <w:rPr>
          <w:rFonts w:hint="eastAsia" w:ascii="楷体_GB2312" w:hAnsi="楷体_GB2312" w:eastAsia="楷体_GB2312" w:cs="楷体_GB2312"/>
          <w:sz w:val="32"/>
          <w:szCs w:val="32"/>
        </w:rPr>
        <w:t>市场监督管理局党组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副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书记、局长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隋新义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述法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履职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树牢法治思维，提升执法效能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本人认真学习贯彻党的二十大和二十届三中、四中全会精神，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坚持领导干部带头学法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遵法</w:t>
      </w:r>
      <w:r>
        <w:rPr>
          <w:rFonts w:hint="eastAsia" w:ascii="仿宋_GB2312" w:hAnsi="仿宋_GB2312" w:eastAsia="仿宋_GB2312" w:cs="仿宋_GB2312"/>
          <w:sz w:val="32"/>
          <w:szCs w:val="32"/>
        </w:rPr>
        <w:t>守法，将学法纳入政治理论学习，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深入贯彻习近平法治思想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、依法治疆方略等内容，制定年度学法计划，通过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政治理论学习日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集体学习、党组中心组学习等形式开展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，举办业务大讲堂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次，提升法治思维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和法治方式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转化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聚力法治监管，践行履职担当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本人认真履行推进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法治建设第一责任人职责，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召开法治建设工作会议，讲法治课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完善决策与公开机制，落实重大行政决策备案、规范性文件审核清理制度，健全执法全流程公开机制。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执法行为，发挥法律顾问作用，落实行政首长出庭应诉制度，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年应诉行政诉讼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复议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件均涉职业索赔。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落实“谁执法谁普法”，借重大节点普法，以案释法提升普法能力，营造法治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营商环境。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强化法治引领，优化营商环境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集群注册登记帮扶措施，扶植企业发展壮大。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办理集群注册登记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户。持续简化企业办事流程、压缩企业登记时间，深化“容缺受理、容缺办理”机制，落实政务网许可证遗失公告便民措施，推行邮政速递营业执照业务，实行班子成员窗口接待群众制度，现场解决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群众急难愁盼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问题，全面落实“放管服”改革措施。企业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网办</w:t>
      </w:r>
      <w:r>
        <w:rPr>
          <w:rFonts w:hint="eastAsia" w:ascii="仿宋_GB2312" w:hAnsi="仿宋_GB2312" w:eastAsia="仿宋_GB2312" w:cs="仿宋_GB2312"/>
          <w:sz w:val="32"/>
          <w:szCs w:val="32"/>
        </w:rPr>
        <w:t>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%，个体户网上登记提高至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%，邮政送达营业执照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余户，办理一照多址市场主体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二是全面开展双随机抽查工作，积极推进“互联网+监管”方式，推动日常监管“双随机、一公开”全覆盖，全市各相关部门共完成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个“双随机”检查任务，涉及市场主体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户，抽查结果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%公示。三是高效推进矛盾纠纷调处工作。坚持依法调解、多元化解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12345、12315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热线投诉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件，举报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件，挽回经济损失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万元，处置网络舆情信息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条。依托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家在线纠纷解决企业化解消费纠纷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起，调解成功率达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%。培育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家承诺单位、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家消费维权服务站，持续激发市场消费活力。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（四）坚持问题导向，强化整改落实。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对标述法会议和法治督查反馈问题，聚焦法治建设工作职责清单、法治宣传教育、依法依规办事、规范行政执法等问题，举一反三查不足，上年度述法报告自查存在问题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，地区、市级现场述法点评提出问题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个，认真分析研究制定工作措施，反馈问题已全部整改完毕，并长期坚持。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下一步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（一）提升帮扶企业精准度。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乌苏市酿酒、农产品加工等特色产业，开展“一对一”企业需求走访，全面梳理企业在知识产权保护、产品质量认证、品牌培育等方面的实际诉求，针对性制定扶持方案。同时，严格落实市场监管领域“轻微免罚”清单，对小微企业首次、轻微且及时改正的违法行为依法落实免罚措施，最大限度降低企业经营成本。深化“一网通办”改革，进一步简化个体工商户、小微企业注册登记流程，压缩办理时限，以精准化、差异化服务破解企业发展难题，激发市场主体内生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（二）丰富业务培训形式。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打破传统集中授课、文件传达的单一模式，构建“实操+竞赛+案例”的多元化学习培训体系。每月围绕乌苏市市场监管典型执法案例开展研讨分析、现场模拟执法等实操培训，让干部在实战场景中掌握法条应用技巧。同时，将本地执法案例融入日常教学，通过以案释法的方式帮助干部深化对法律法规和业务知识的理解，切实提升学习培训的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（三）完善法治宣传阵地建设。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普法工作要求加强常态化宣传，将法治宣传教育工作列入政治理论学习日、党组会、党组理论学习中心组学习等会议议题进行研究部署和重点强调，坚持法治宣传教育工作与市场监管主责主业同部署、同要求、同监督、同考核，推动形成上下联动、齐抓共管的法治宣传教育合力。同时，立足工作实际，选取大型商超、农产品批发市场、工业园区等市场主体和群众密集区域，常态化开展法治宣传。通过发放宣传材料、上门普法、日常监督、新兴媒体等方式进行广泛宣传，在宣传过程中，为广大市场主体及时答疑解惑，引导市场主体知法懂法守法，提高各类市场主体和广大消费者对市场监管法律知识的知晓度。</w:t>
      </w:r>
    </w:p>
    <w:sectPr>
      <w:footerReference r:id="rId3" w:type="default"/>
      <w:pgSz w:w="11906" w:h="16838"/>
      <w:pgMar w:top="1701" w:right="1440" w:bottom="170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172A27"/>
    <w:rsid w:val="00007B2F"/>
    <w:rsid w:val="01557A3F"/>
    <w:rsid w:val="016A45EA"/>
    <w:rsid w:val="02B1190C"/>
    <w:rsid w:val="02EE29ED"/>
    <w:rsid w:val="046B51B4"/>
    <w:rsid w:val="0C7F5D5B"/>
    <w:rsid w:val="0DAF7C8B"/>
    <w:rsid w:val="12340C68"/>
    <w:rsid w:val="1AAD78D2"/>
    <w:rsid w:val="1C302E5D"/>
    <w:rsid w:val="1E5208BA"/>
    <w:rsid w:val="20570270"/>
    <w:rsid w:val="21942285"/>
    <w:rsid w:val="24237F65"/>
    <w:rsid w:val="28D635FE"/>
    <w:rsid w:val="28F65B23"/>
    <w:rsid w:val="29344381"/>
    <w:rsid w:val="2A0E468C"/>
    <w:rsid w:val="2A6553E6"/>
    <w:rsid w:val="2EE338FA"/>
    <w:rsid w:val="2EF40455"/>
    <w:rsid w:val="33647D42"/>
    <w:rsid w:val="3615709A"/>
    <w:rsid w:val="36E53634"/>
    <w:rsid w:val="386A40D7"/>
    <w:rsid w:val="395D08F6"/>
    <w:rsid w:val="3BBC230F"/>
    <w:rsid w:val="3E526AD0"/>
    <w:rsid w:val="3FC343A8"/>
    <w:rsid w:val="41D10249"/>
    <w:rsid w:val="423B75C4"/>
    <w:rsid w:val="429B366F"/>
    <w:rsid w:val="43A23EF5"/>
    <w:rsid w:val="46E00B1A"/>
    <w:rsid w:val="47E739D3"/>
    <w:rsid w:val="47F04692"/>
    <w:rsid w:val="4918503E"/>
    <w:rsid w:val="4C0F6284"/>
    <w:rsid w:val="4CFF0ECE"/>
    <w:rsid w:val="4DE0208F"/>
    <w:rsid w:val="4E1D0B8D"/>
    <w:rsid w:val="4F48028C"/>
    <w:rsid w:val="525A7AFF"/>
    <w:rsid w:val="566A39AB"/>
    <w:rsid w:val="59E37A8B"/>
    <w:rsid w:val="5BA64395"/>
    <w:rsid w:val="5DF271A3"/>
    <w:rsid w:val="5E5F248E"/>
    <w:rsid w:val="5E995272"/>
    <w:rsid w:val="6381495B"/>
    <w:rsid w:val="64AD07D8"/>
    <w:rsid w:val="6AD172CA"/>
    <w:rsid w:val="6CAF7836"/>
    <w:rsid w:val="6D0C6BF5"/>
    <w:rsid w:val="6E1D39B2"/>
    <w:rsid w:val="724F2DCE"/>
    <w:rsid w:val="72BA3948"/>
    <w:rsid w:val="735B12FF"/>
    <w:rsid w:val="747538AE"/>
    <w:rsid w:val="75B80E2A"/>
    <w:rsid w:val="75FC218E"/>
    <w:rsid w:val="771901D8"/>
    <w:rsid w:val="776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widowControl/>
      <w:ind w:left="1000" w:hanging="400"/>
      <w:outlineLvl w:val="2"/>
    </w:pPr>
    <w:rPr>
      <w:szCs w:val="21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spacing w:line="540" w:lineRule="exact"/>
      <w:jc w:val="left"/>
    </w:pPr>
    <w:rPr>
      <w:rFonts w:ascii="黑体" w:hAnsi="黑体" w:eastAsia="黑体"/>
      <w:sz w:val="32"/>
      <w:szCs w:val="32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next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1"/>
    <w:autoRedefine/>
    <w:unhideWhenUsed/>
    <w:qFormat/>
    <w:uiPriority w:val="99"/>
    <w:pPr>
      <w:ind w:firstLine="420" w:firstLineChars="100"/>
    </w:p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NormalCharacter"/>
    <w:autoRedefine/>
    <w:semiHidden/>
    <w:qFormat/>
    <w:uiPriority w:val="0"/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paragraph" w:customStyle="1" w:styleId="1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引文目录1"/>
    <w:next w:val="1"/>
    <w:qFormat/>
    <w:uiPriority w:val="0"/>
    <w:pPr>
      <w:widowControl w:val="0"/>
      <w:spacing w:before="100" w:beforeAutospacing="1" w:after="100" w:afterAutospacing="1"/>
      <w:ind w:left="20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1714</Characters>
  <Lines>0</Lines>
  <Paragraphs>0</Paragraphs>
  <TotalTime>12</TotalTime>
  <ScaleCrop>false</ScaleCrop>
  <LinksUpToDate>false</LinksUpToDate>
  <CharactersWithSpaces>1716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2024-01-15T09:36:00Z</dcterms:created>
  <dc:creator>徐海</dc:creator>
  <cp:lastModifiedBy>喜文</cp:lastModifiedBy>
  <cp:lastPrinted>2026-03-10T04:44:00Z</cp:lastPrinted>
  <dcterms:modified xsi:type="dcterms:W3CDTF">2026-03-16T08:00:48Z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FA8BE33736984B4E9FAB92F2BF9D4029_13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