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乌苏市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市场监督管理局党组书记、副局长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苏红涛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述法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履职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（一）坚持法治引领，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扛牢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政治责任。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政治站位，强化责任担当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党的二十大及二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十届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中全会精神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习近平新时代中国特色社会主义思想和习近平法治思想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为行动指南，不断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教育党员干部严守政治纪律规矩，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坚决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做到“两个维护”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全面贯彻新时代党的治疆方略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严肃政治生活，夯实党建基础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严格执行党内政治生活准则，落实“三会一课”等制度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制定年度学法计划清单，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照单学法，细化工作任务压实责任。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集中学与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线上学与线下学</w:t>
      </w:r>
      <w:r>
        <w:rPr>
          <w:rFonts w:hint="eastAsia" w:ascii="仿宋_GB2312" w:hAnsi="仿宋_GB2312" w:eastAsia="仿宋_GB2312" w:cs="仿宋_GB2312"/>
          <w:sz w:val="32"/>
          <w:szCs w:val="32"/>
        </w:rPr>
        <w:t>抓实法治教育，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中心组学法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强化组织领导，夯实主体责任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一是坚决落</w:t>
      </w:r>
      <w:r>
        <w:rPr>
          <w:rFonts w:hint="eastAsia" w:ascii="仿宋_GB2312" w:hAnsi="仿宋_GB2312" w:eastAsia="仿宋_GB2312" w:cs="仿宋_GB2312"/>
          <w:sz w:val="32"/>
          <w:szCs w:val="32"/>
        </w:rPr>
        <w:t>实“一把手”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法治建设第一责任人职责，及时调整充实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严格执行法治建设“亲自部署、亲自过问、亲自协调、亲自督办”要求，对照“一规划两纲要”细化任务清单抓好落实。紧盯“关键少数”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推动带头尊法学法守法用法，不断提升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依法行政工作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。二是强化制度保障，推进依法行政。坚持制度管人管事，严格落实行政执法人员持证执法、信息公开、依法行政报告等制度，做到用制度约束和规范行政权力。在重大决策、出台规范性文件时充分征求法律顾问意见，有效降低决策风险和成本，提升行政决策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认真落实“三重一大”决策制度和“一把手”末位表态制度，让参与决策的班子成员都能充分发表意见。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（三）坚持依法行政，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落实监管责任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行政执法监督常态化机制，全面推进严格规范公正文明执法。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依法公平竞争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开展公平竞争审查，审阅政策措施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件。坚持依法严格办案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开展食品药品、特种设备、制售假冒伪劣等专项整治，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办违法案件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263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坚持依法严厉治乱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深化市监领域行业突出问题专项治理工作，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提升监管效能。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坚持依法严肃维权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深化人民调解机制，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受理消费投诉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1219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回经济损失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48.2万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（四）坚持问题导向，强化整改落实。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对照上一年度述法会议和自查问题反馈的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个问题，认真分析研究制定工作措施，反馈问题已全部整改完毕，并长期坚持。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（一）筑牢思想根基，强化学习引领。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把学习贯彻习近平法治思想作为首要政治任务，持续深化学习的深度与广度，综合运用集中研讨、个人自学、线上平台学习、现场教学体验等多元化形式，推动理论学习走深走实。始终坚持以习近平法治思想统领市场监管领域各项工作，将法治思维融入工作谋划、决策执行和解决问题的全过程，通过系统性学习不断提升干部队伍的法治能力与依法办事水平。充分发挥领导干部“关键少数”的示范带头作用，带头尊法学法守法用法，确保各项决策部署始终符合科学决策、民主决策、依法决策的要求，以理论学习的实效推动法治建设实践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（二）压实主体责任，推动工作落地。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严格落实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政主要负责人履行推进法治建设第一责任人职责，构建主要领导亲自抓、分管领导具体抓、各部门协同抓的法治建设工作格局，以责任落实带动各项任务落地见效。建立常态化工作推进机制，定期召开法治建设专题会议，精准研究部署法治工作重点任务，将目标要求细化分解到具体岗位和环节，形成层层抓落实的工作体系。常态化开展法治建设工作汇报听取与督导检查，及时梳理工作推进中的堵点难点问题，针对性制定解决方案，确保法治建设各项举措落到实处、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（三）创新方式方法，营造法治氛围。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严格落实“谁执法谁普法”普法责任制，紧扣“八五”普法工作要求 ，从方法、形式、机制和理念层面全方位推进普法工作创新，打破传统宣传模式局限，采用案例讲解、线上直播等多元形式提升普法针对性。加强对干部职工学法用法的常态化指导与专项检查，建立学法用法考核评价机制，倒逼干部提升法律素养。积极借鉴各地市场监管领域学法、普法、用法的先进经验，结合本地实际优化工作举措，推动形成全员尊法学法、自觉用法守法的良好法治氛围，为法治建设筑牢社会基础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172A27"/>
    <w:rsid w:val="01557A3F"/>
    <w:rsid w:val="016A45EA"/>
    <w:rsid w:val="019575CB"/>
    <w:rsid w:val="046B51B4"/>
    <w:rsid w:val="0DAF7C8B"/>
    <w:rsid w:val="12340C68"/>
    <w:rsid w:val="133B7E6E"/>
    <w:rsid w:val="1C302E5D"/>
    <w:rsid w:val="1C882B11"/>
    <w:rsid w:val="1E2E395D"/>
    <w:rsid w:val="1E5208BA"/>
    <w:rsid w:val="20570270"/>
    <w:rsid w:val="21942285"/>
    <w:rsid w:val="26753E8D"/>
    <w:rsid w:val="27252E61"/>
    <w:rsid w:val="27502F2B"/>
    <w:rsid w:val="28D635FE"/>
    <w:rsid w:val="28F65B23"/>
    <w:rsid w:val="29344381"/>
    <w:rsid w:val="2A0E468C"/>
    <w:rsid w:val="2A6553E6"/>
    <w:rsid w:val="2C5E64EE"/>
    <w:rsid w:val="2D59717D"/>
    <w:rsid w:val="2EE338FA"/>
    <w:rsid w:val="2EF40455"/>
    <w:rsid w:val="31892F5D"/>
    <w:rsid w:val="33291F9F"/>
    <w:rsid w:val="3615709A"/>
    <w:rsid w:val="36E53634"/>
    <w:rsid w:val="380665C9"/>
    <w:rsid w:val="386A40D7"/>
    <w:rsid w:val="3BBC230F"/>
    <w:rsid w:val="3E526AD0"/>
    <w:rsid w:val="3FC343A8"/>
    <w:rsid w:val="41D10249"/>
    <w:rsid w:val="429B366F"/>
    <w:rsid w:val="43A23EF5"/>
    <w:rsid w:val="47E739D3"/>
    <w:rsid w:val="47F04692"/>
    <w:rsid w:val="4918503E"/>
    <w:rsid w:val="4C0F6284"/>
    <w:rsid w:val="4CFF0ECE"/>
    <w:rsid w:val="4DE0208F"/>
    <w:rsid w:val="525A7AFF"/>
    <w:rsid w:val="566A39AB"/>
    <w:rsid w:val="59E37A8B"/>
    <w:rsid w:val="5B2D3D2D"/>
    <w:rsid w:val="5BA64395"/>
    <w:rsid w:val="5BF84E24"/>
    <w:rsid w:val="5C706F4C"/>
    <w:rsid w:val="5DF271A3"/>
    <w:rsid w:val="5E5F248E"/>
    <w:rsid w:val="63032AE3"/>
    <w:rsid w:val="64AD07D8"/>
    <w:rsid w:val="68531A5E"/>
    <w:rsid w:val="6AD172CA"/>
    <w:rsid w:val="6C004E15"/>
    <w:rsid w:val="6CAF7836"/>
    <w:rsid w:val="6D0C6BF5"/>
    <w:rsid w:val="6D4A0A51"/>
    <w:rsid w:val="6E1D39B2"/>
    <w:rsid w:val="727E3AFC"/>
    <w:rsid w:val="747538AE"/>
    <w:rsid w:val="75FC218E"/>
    <w:rsid w:val="771901D8"/>
    <w:rsid w:val="77687FDC"/>
    <w:rsid w:val="7F81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99"/>
    <w:pPr>
      <w:widowControl/>
      <w:ind w:left="1000" w:hanging="400"/>
      <w:outlineLvl w:val="2"/>
    </w:pPr>
    <w:rPr>
      <w:szCs w:val="21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spacing w:line="540" w:lineRule="exact"/>
      <w:jc w:val="left"/>
    </w:pPr>
    <w:rPr>
      <w:rFonts w:ascii="黑体" w:hAnsi="黑体" w:eastAsia="黑体"/>
      <w:sz w:val="32"/>
      <w:szCs w:val="32"/>
    </w:rPr>
  </w:style>
  <w:style w:type="paragraph" w:styleId="4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next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1"/>
    <w:autoRedefine/>
    <w:unhideWhenUsed/>
    <w:qFormat/>
    <w:uiPriority w:val="99"/>
    <w:pPr>
      <w:ind w:firstLine="420" w:firstLineChars="100"/>
    </w:p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NormalCharacter"/>
    <w:autoRedefine/>
    <w:semiHidden/>
    <w:qFormat/>
    <w:uiPriority w:val="0"/>
    <w:rPr>
      <w:rFonts w:ascii="Calibri" w:hAnsi="Calibri" w:eastAsia="宋体" w:cs="仿宋_GB2312"/>
      <w:kern w:val="0"/>
      <w:sz w:val="32"/>
      <w:szCs w:val="32"/>
      <w:lang w:val="en-US" w:eastAsia="zh-CN" w:bidi="ar-SA"/>
    </w:rPr>
  </w:style>
  <w:style w:type="paragraph" w:customStyle="1" w:styleId="1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引文目录1"/>
    <w:next w:val="1"/>
    <w:autoRedefine/>
    <w:qFormat/>
    <w:uiPriority w:val="0"/>
    <w:pPr>
      <w:widowControl w:val="0"/>
      <w:spacing w:before="100" w:beforeAutospacing="1" w:after="100" w:afterAutospacing="1"/>
      <w:ind w:left="20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1592</Words>
  <Characters>1609</Characters>
  <Lines>0</Lines>
  <Paragraphs>0</Paragraphs>
  <TotalTime>1</TotalTime>
  <ScaleCrop>false</ScaleCrop>
  <LinksUpToDate>false</LinksUpToDate>
  <CharactersWithSpaces>1613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2024-01-15T09:36:00Z</dcterms:created>
  <dc:creator>徐海</dc:creator>
  <cp:lastModifiedBy>喜文</cp:lastModifiedBy>
  <cp:lastPrinted>2025-12-04T04:32:00Z</cp:lastPrinted>
  <dcterms:modified xsi:type="dcterms:W3CDTF">2026-03-16T08:03:37Z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6CC2946D4AD0410281C19C0DBD3F08E2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